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A16CB" w14:textId="77777777" w:rsidR="000528DD" w:rsidRDefault="000528DD" w:rsidP="00E21CC8">
      <w:pPr>
        <w:pStyle w:val="Title"/>
        <w:rPr>
          <w:lang w:val="tr-TR"/>
        </w:rPr>
      </w:pPr>
    </w:p>
    <w:p w14:paraId="44A94263" w14:textId="77777777" w:rsidR="000528DD" w:rsidRDefault="000528DD" w:rsidP="00E21CC8">
      <w:pPr>
        <w:pStyle w:val="Title"/>
        <w:rPr>
          <w:lang w:val="tr-TR"/>
        </w:rPr>
      </w:pPr>
    </w:p>
    <w:p w14:paraId="2C64A53C" w14:textId="77777777" w:rsidR="000528DD" w:rsidRDefault="000528DD" w:rsidP="00E21CC8">
      <w:pPr>
        <w:pStyle w:val="Title"/>
        <w:rPr>
          <w:lang w:val="tr-TR"/>
        </w:rPr>
      </w:pPr>
    </w:p>
    <w:p w14:paraId="67BBB1C0" w14:textId="52E60370" w:rsidR="00AB2B92" w:rsidRDefault="00E21CC8" w:rsidP="00E21CC8">
      <w:pPr>
        <w:pStyle w:val="Title"/>
        <w:rPr>
          <w:lang w:val="tr-TR"/>
        </w:rPr>
      </w:pPr>
      <w:r>
        <w:rPr>
          <w:lang w:val="tr-TR"/>
        </w:rPr>
        <w:t>Basın Bülteni</w:t>
      </w:r>
    </w:p>
    <w:p w14:paraId="5C15FF0A" w14:textId="77777777" w:rsidR="00E21CC8" w:rsidRDefault="00E21CC8" w:rsidP="00AB2B92">
      <w:pPr>
        <w:widowControl w:val="0"/>
        <w:tabs>
          <w:tab w:val="left" w:pos="220"/>
          <w:tab w:val="left" w:pos="720"/>
        </w:tabs>
        <w:autoSpaceDE w:val="0"/>
        <w:autoSpaceDN w:val="0"/>
        <w:adjustRightInd w:val="0"/>
        <w:rPr>
          <w:rFonts w:asciiTheme="majorHAnsi" w:hAnsiTheme="majorHAnsi" w:cs="Calibri"/>
          <w:b/>
          <w:bCs/>
          <w:sz w:val="32"/>
          <w:szCs w:val="32"/>
          <w:lang w:val="tr-TR"/>
        </w:rPr>
      </w:pPr>
    </w:p>
    <w:tbl>
      <w:tblPr>
        <w:tblStyle w:val="TableGrid"/>
        <w:tblW w:w="0" w:type="auto"/>
        <w:tblLook w:val="04A0" w:firstRow="1" w:lastRow="0" w:firstColumn="1" w:lastColumn="0" w:noHBand="0" w:noVBand="1"/>
      </w:tblPr>
      <w:tblGrid>
        <w:gridCol w:w="8516"/>
      </w:tblGrid>
      <w:tr w:rsidR="001257C5" w:rsidRPr="006854FB" w14:paraId="04A5E540" w14:textId="4339B785" w:rsidTr="00AB2652">
        <w:tc>
          <w:tcPr>
            <w:tcW w:w="0" w:type="auto"/>
          </w:tcPr>
          <w:p w14:paraId="1CA1C240" w14:textId="77777777" w:rsidR="001257C5" w:rsidRPr="006854FB" w:rsidRDefault="001257C5" w:rsidP="00E42181">
            <w:pPr>
              <w:pStyle w:val="NoSpacing"/>
              <w:jc w:val="center"/>
              <w:rPr>
                <w:sz w:val="44"/>
                <w:szCs w:val="44"/>
                <w:lang w:val="tr-TR"/>
              </w:rPr>
            </w:pPr>
            <w:r w:rsidRPr="006854FB">
              <w:rPr>
                <w:sz w:val="44"/>
                <w:szCs w:val="44"/>
                <w:lang w:val="tr-TR"/>
              </w:rPr>
              <w:t>Hayat Varlık’a dönüşen TURKASSET, yeni döneme dev krediyle başlıyor</w:t>
            </w:r>
          </w:p>
        </w:tc>
      </w:tr>
      <w:tr w:rsidR="001257C5" w:rsidRPr="006854FB" w14:paraId="3A5ED976" w14:textId="40D7EA0C" w:rsidTr="00AB2652">
        <w:tc>
          <w:tcPr>
            <w:tcW w:w="0" w:type="auto"/>
          </w:tcPr>
          <w:p w14:paraId="6B586D1D" w14:textId="77777777" w:rsidR="001257C5" w:rsidRPr="006854FB" w:rsidRDefault="001257C5" w:rsidP="00E42181">
            <w:pPr>
              <w:widowControl w:val="0"/>
              <w:tabs>
                <w:tab w:val="left" w:pos="220"/>
                <w:tab w:val="left" w:pos="720"/>
              </w:tabs>
              <w:autoSpaceDE w:val="0"/>
              <w:autoSpaceDN w:val="0"/>
              <w:adjustRightInd w:val="0"/>
              <w:rPr>
                <w:rFonts w:asciiTheme="majorHAnsi" w:hAnsiTheme="majorHAnsi" w:cs="Calibri"/>
                <w:bCs/>
                <w:sz w:val="32"/>
                <w:szCs w:val="32"/>
                <w:lang w:val="tr-TR"/>
              </w:rPr>
            </w:pPr>
          </w:p>
        </w:tc>
      </w:tr>
      <w:tr w:rsidR="001257C5" w:rsidRPr="006854FB" w14:paraId="3EC0BE91" w14:textId="0558E6ED" w:rsidTr="00AB2652">
        <w:tc>
          <w:tcPr>
            <w:tcW w:w="0" w:type="auto"/>
          </w:tcPr>
          <w:p w14:paraId="63C95B4F" w14:textId="3B296A03" w:rsidR="001257C5" w:rsidRPr="006854FB" w:rsidRDefault="001257C5" w:rsidP="005727A5">
            <w:pPr>
              <w:widowControl w:val="0"/>
              <w:tabs>
                <w:tab w:val="left" w:pos="220"/>
                <w:tab w:val="left" w:pos="720"/>
              </w:tabs>
              <w:autoSpaceDE w:val="0"/>
              <w:autoSpaceDN w:val="0"/>
              <w:adjustRightInd w:val="0"/>
              <w:spacing w:before="100" w:beforeAutospacing="1" w:after="100" w:afterAutospacing="1" w:line="276" w:lineRule="auto"/>
              <w:jc w:val="both"/>
              <w:rPr>
                <w:rFonts w:asciiTheme="majorHAnsi" w:hAnsiTheme="majorHAnsi" w:cs="Calibri"/>
                <w:bCs/>
                <w:lang w:val="tr-TR"/>
              </w:rPr>
            </w:pPr>
            <w:r w:rsidRPr="006854FB">
              <w:rPr>
                <w:lang w:val="tr-TR"/>
              </w:rPr>
              <w:t xml:space="preserve">Gerek aktif büyüklüğü gerekse çalışan sayısı itibarı ile Türkiye’nin en büyük varlık yönetim şirketi </w:t>
            </w:r>
            <w:r w:rsidRPr="00E63286">
              <w:rPr>
                <w:lang w:val="tr-TR"/>
              </w:rPr>
              <w:t>TURKASSET, Avrupa İmar ve Kalkınma Bankası (EBRD) ve dünyanın en büyük bankası olan ICBC’</w:t>
            </w:r>
            <w:r>
              <w:rPr>
                <w:lang w:val="tr-TR"/>
              </w:rPr>
              <w:t>nin iştiraki ICBC Turkey’</w:t>
            </w:r>
            <w:r w:rsidRPr="00E63286">
              <w:rPr>
                <w:lang w:val="tr-TR"/>
              </w:rPr>
              <w:t>den 120 milyon TL tutarında sendikasyon kredisi sağladı. Aynı zamanda TURKASSET, Hayat Varlık ile birleşerek, yoluna Hayat Varlık bünyesinde devam etme kararı aldı.</w:t>
            </w:r>
          </w:p>
        </w:tc>
      </w:tr>
      <w:tr w:rsidR="001257C5" w:rsidRPr="00E63286" w14:paraId="68F671A5" w14:textId="106BC119" w:rsidTr="00AB2652">
        <w:tc>
          <w:tcPr>
            <w:tcW w:w="0" w:type="auto"/>
          </w:tcPr>
          <w:p w14:paraId="035B847D" w14:textId="3F06A302" w:rsidR="001257C5" w:rsidRPr="006854FB" w:rsidRDefault="001257C5" w:rsidP="00F6632E">
            <w:pPr>
              <w:widowControl w:val="0"/>
              <w:tabs>
                <w:tab w:val="left" w:pos="220"/>
                <w:tab w:val="left" w:pos="720"/>
              </w:tabs>
              <w:autoSpaceDE w:val="0"/>
              <w:autoSpaceDN w:val="0"/>
              <w:adjustRightInd w:val="0"/>
              <w:spacing w:before="100" w:beforeAutospacing="1" w:after="100" w:afterAutospacing="1" w:line="276" w:lineRule="auto"/>
              <w:jc w:val="both"/>
              <w:rPr>
                <w:rFonts w:asciiTheme="majorHAnsi" w:hAnsiTheme="majorHAnsi" w:cs="Calibri"/>
                <w:bCs/>
                <w:lang w:val="tr-TR"/>
              </w:rPr>
            </w:pPr>
            <w:proofErr w:type="spellStart"/>
            <w:r w:rsidRPr="006854FB">
              <w:rPr>
                <w:rFonts w:asciiTheme="majorHAnsi" w:hAnsiTheme="majorHAnsi" w:cs="Calibri"/>
                <w:bCs/>
                <w:lang w:val="tr-TR"/>
              </w:rPr>
              <w:t>Sendikasyon</w:t>
            </w:r>
            <w:proofErr w:type="spellEnd"/>
            <w:r w:rsidRPr="006854FB">
              <w:rPr>
                <w:rFonts w:asciiTheme="majorHAnsi" w:hAnsiTheme="majorHAnsi" w:cs="Calibri"/>
                <w:bCs/>
                <w:lang w:val="tr-TR"/>
              </w:rPr>
              <w:t xml:space="preserve"> kredisinin ve birleşmenin detayları, Wyndham Grand Levent Otel’de</w:t>
            </w:r>
            <w:r>
              <w:rPr>
                <w:rFonts w:asciiTheme="majorHAnsi" w:hAnsiTheme="majorHAnsi" w:cs="Calibri"/>
                <w:bCs/>
                <w:lang w:val="tr-TR"/>
              </w:rPr>
              <w:t xml:space="preserve"> </w:t>
            </w:r>
            <w:r w:rsidRPr="006854FB">
              <w:rPr>
                <w:rFonts w:asciiTheme="majorHAnsi" w:hAnsiTheme="majorHAnsi" w:cs="Calibri"/>
                <w:bCs/>
                <w:lang w:val="tr-TR"/>
              </w:rPr>
              <w:t xml:space="preserve">düzenlenen bir törenle </w:t>
            </w:r>
            <w:r>
              <w:rPr>
                <w:rFonts w:asciiTheme="majorHAnsi" w:hAnsiTheme="majorHAnsi" w:cs="Calibri"/>
                <w:bCs/>
                <w:lang w:val="tr-TR"/>
              </w:rPr>
              <w:t>basın</w:t>
            </w:r>
            <w:r w:rsidRPr="006854FB">
              <w:rPr>
                <w:rFonts w:asciiTheme="majorHAnsi" w:hAnsiTheme="majorHAnsi" w:cs="Calibri"/>
                <w:bCs/>
                <w:lang w:val="tr-TR"/>
              </w:rPr>
              <w:t xml:space="preserve"> ile paylaşıldı. Törene, ICBC Turkey Yönetim Kurulu Başkanı Xu Keen ve ICBC Turkey Genel Müdürü ve Yönetim Kurulu Üyesi Gao Xiangyang, EBRD Finansal Kurumlar Direktörü Noel Edison, EBRD Türkiye Yönetici Direktörü Jean-Patrick Marquet ve Hayat Varlık Genel Müdürü Hilmi Güvenal katıldı. </w:t>
            </w:r>
          </w:p>
        </w:tc>
      </w:tr>
      <w:tr w:rsidR="001257C5" w:rsidRPr="006854FB" w14:paraId="38D64491" w14:textId="52C02B61" w:rsidTr="00AB2652">
        <w:tc>
          <w:tcPr>
            <w:tcW w:w="0" w:type="auto"/>
          </w:tcPr>
          <w:p w14:paraId="5172B6A9" w14:textId="2E7FB1EF" w:rsidR="001257C5" w:rsidRPr="006854FB" w:rsidRDefault="001257C5" w:rsidP="008F6DB1">
            <w:pPr>
              <w:widowControl w:val="0"/>
              <w:tabs>
                <w:tab w:val="left" w:pos="220"/>
                <w:tab w:val="left" w:pos="720"/>
              </w:tabs>
              <w:autoSpaceDE w:val="0"/>
              <w:autoSpaceDN w:val="0"/>
              <w:adjustRightInd w:val="0"/>
              <w:spacing w:before="100" w:beforeAutospacing="1" w:after="100" w:afterAutospacing="1" w:line="276" w:lineRule="auto"/>
              <w:jc w:val="both"/>
              <w:rPr>
                <w:rFonts w:asciiTheme="majorHAnsi" w:hAnsiTheme="majorHAnsi" w:cs="Calibri"/>
                <w:bCs/>
                <w:lang w:val="tr-TR"/>
              </w:rPr>
            </w:pPr>
            <w:r w:rsidRPr="006854FB">
              <w:rPr>
                <w:rFonts w:asciiTheme="majorHAnsi" w:hAnsiTheme="majorHAnsi" w:cs="Calibri"/>
                <w:bCs/>
                <w:lang w:val="tr-TR"/>
              </w:rPr>
              <w:t xml:space="preserve">Hayat Varlık Genel Müdürü Hilmi Güvenal, 2009 yılında TURKASSET’i (eski adı ile LBT) satın alarak başladıkları varlık yönetimi işinde sekiz yılda 800 binden fazla müşteriye, 8,5 milyar </w:t>
            </w:r>
            <w:r>
              <w:rPr>
                <w:rFonts w:asciiTheme="majorHAnsi" w:hAnsiTheme="majorHAnsi" w:cs="Calibri"/>
                <w:bCs/>
                <w:lang w:val="tr-TR"/>
              </w:rPr>
              <w:t xml:space="preserve">TL’lik </w:t>
            </w:r>
            <w:r w:rsidRPr="006854FB">
              <w:rPr>
                <w:rFonts w:asciiTheme="majorHAnsi" w:hAnsiTheme="majorHAnsi" w:cs="Calibri"/>
                <w:bCs/>
                <w:lang w:val="tr-TR"/>
              </w:rPr>
              <w:t>portföy büyüklüğüne ve 600’e yakın çalışana ulaştıklarını söyledi. Yedi farklı ilde sürdürdükleri müşteri odaklı hizmet felsefesi ve ileri teknoloji yatırımları ile farklılaştıklarını belirten Güvenal, “Güçlü ortaklık yapımız, sağlam kreditörlerimiz ve yüksek teknolojimizin yanısıra  özellikle insan odaklı iş modelimiz bizi Harvard Business School’da örnek vaka yaptı. Şimdi yolumuza Hayat Varlık olarak güçlü bir şekilde devam ediyoruz. EBRD ve ICBC</w:t>
            </w:r>
            <w:r>
              <w:rPr>
                <w:rFonts w:asciiTheme="majorHAnsi" w:hAnsiTheme="majorHAnsi" w:cs="Calibri"/>
                <w:bCs/>
                <w:lang w:val="tr-TR"/>
              </w:rPr>
              <w:t xml:space="preserve"> Turkey</w:t>
            </w:r>
            <w:r w:rsidRPr="006854FB">
              <w:rPr>
                <w:rFonts w:asciiTheme="majorHAnsi" w:hAnsiTheme="majorHAnsi" w:cs="Calibri"/>
                <w:bCs/>
                <w:lang w:val="tr-TR"/>
              </w:rPr>
              <w:t xml:space="preserve">’den aldığımız bu kredi de uluslararası yatırımcıların Türkiye’ye ve şirketimize olan inancının önemli bir göstergesi” dedi.  </w:t>
            </w:r>
          </w:p>
        </w:tc>
      </w:tr>
      <w:tr w:rsidR="001257C5" w:rsidRPr="006854FB" w14:paraId="22EA1AB7" w14:textId="722D4CBF" w:rsidTr="00AB2652">
        <w:tc>
          <w:tcPr>
            <w:tcW w:w="0" w:type="auto"/>
          </w:tcPr>
          <w:p w14:paraId="0F1139FB" w14:textId="725EE20A" w:rsidR="001257C5" w:rsidRPr="006854FB" w:rsidRDefault="001257C5" w:rsidP="008F6DB1">
            <w:pPr>
              <w:widowControl w:val="0"/>
              <w:tabs>
                <w:tab w:val="left" w:pos="220"/>
                <w:tab w:val="left" w:pos="720"/>
              </w:tabs>
              <w:autoSpaceDE w:val="0"/>
              <w:autoSpaceDN w:val="0"/>
              <w:adjustRightInd w:val="0"/>
              <w:spacing w:before="100" w:beforeAutospacing="1" w:after="100" w:afterAutospacing="1" w:line="276" w:lineRule="auto"/>
              <w:jc w:val="both"/>
              <w:rPr>
                <w:rFonts w:asciiTheme="majorHAnsi" w:hAnsiTheme="majorHAnsi" w:cs="Calibri"/>
                <w:bCs/>
                <w:lang w:val="tr-TR"/>
              </w:rPr>
            </w:pPr>
            <w:r w:rsidRPr="006854FB">
              <w:rPr>
                <w:rFonts w:asciiTheme="majorHAnsi" w:hAnsiTheme="majorHAnsi" w:cs="Calibri"/>
                <w:bCs/>
                <w:lang w:val="tr-TR"/>
              </w:rPr>
              <w:t xml:space="preserve">Aynı zamanda Hayat Varlık’ın hissedarlarından biri olan EBRD’nin Türkiye Yönetici Direktörü Jean-Patrick Marquet ise “Bu işlemle birlikte TURKASSET’in uzun vadeli </w:t>
            </w:r>
            <w:r>
              <w:rPr>
                <w:rFonts w:asciiTheme="majorHAnsi" w:hAnsiTheme="majorHAnsi" w:cs="Calibri"/>
                <w:bCs/>
                <w:lang w:val="tr-TR"/>
              </w:rPr>
              <w:t>yerel para</w:t>
            </w:r>
            <w:r w:rsidRPr="006854FB">
              <w:rPr>
                <w:rFonts w:asciiTheme="majorHAnsi" w:hAnsiTheme="majorHAnsi" w:cs="Calibri"/>
                <w:bCs/>
                <w:lang w:val="tr-TR"/>
              </w:rPr>
              <w:t xml:space="preserve"> fonlamasına erişimini genişletiyoruz. ICBC gibi büyük bir kredi vereni yeni bir varlık sınıfına getir</w:t>
            </w:r>
            <w:r>
              <w:rPr>
                <w:rFonts w:asciiTheme="majorHAnsi" w:hAnsiTheme="majorHAnsi" w:cs="Calibri"/>
                <w:bCs/>
                <w:lang w:val="tr-TR"/>
              </w:rPr>
              <w:t xml:space="preserve">mekten </w:t>
            </w:r>
            <w:r w:rsidRPr="006854FB">
              <w:rPr>
                <w:rFonts w:asciiTheme="majorHAnsi" w:hAnsiTheme="majorHAnsi" w:cs="Calibri"/>
                <w:bCs/>
                <w:lang w:val="tr-TR"/>
              </w:rPr>
              <w:t>dolayı oldukça memnunuz. Türkiye tahsili gecikmiş alacak pazarında bu öncü sendikasyon kredi yapısı ile sektöre daha fazla ilgi çekmek istiyoruz.” dedi.</w:t>
            </w:r>
          </w:p>
        </w:tc>
      </w:tr>
      <w:tr w:rsidR="001257C5" w:rsidRPr="006854FB" w14:paraId="1721FED8" w14:textId="6E9D8339" w:rsidTr="00AB2652">
        <w:tc>
          <w:tcPr>
            <w:tcW w:w="0" w:type="auto"/>
          </w:tcPr>
          <w:p w14:paraId="0A0FB1BB" w14:textId="2C686042" w:rsidR="001257C5" w:rsidRPr="006854FB" w:rsidRDefault="001257C5" w:rsidP="00F0594F">
            <w:pPr>
              <w:widowControl w:val="0"/>
              <w:tabs>
                <w:tab w:val="left" w:pos="220"/>
                <w:tab w:val="left" w:pos="720"/>
              </w:tabs>
              <w:autoSpaceDE w:val="0"/>
              <w:autoSpaceDN w:val="0"/>
              <w:adjustRightInd w:val="0"/>
              <w:spacing w:before="100" w:beforeAutospacing="1" w:after="100" w:afterAutospacing="1" w:line="276" w:lineRule="auto"/>
              <w:jc w:val="both"/>
              <w:rPr>
                <w:rFonts w:asciiTheme="majorHAnsi" w:hAnsiTheme="majorHAnsi" w:cs="Calibri"/>
                <w:lang w:val="tr-TR"/>
              </w:rPr>
            </w:pPr>
            <w:r w:rsidRPr="006854FB">
              <w:rPr>
                <w:rFonts w:asciiTheme="majorHAnsi" w:hAnsiTheme="majorHAnsi" w:cs="Calibri"/>
                <w:lang w:val="tr-TR"/>
              </w:rPr>
              <w:t xml:space="preserve">Yakın bir geçmişte Tekstilbank’ı satın alarak Türkiye’ye yatırımcı olarak yerleşen </w:t>
            </w:r>
            <w:r w:rsidRPr="006854FB">
              <w:rPr>
                <w:rFonts w:asciiTheme="majorHAnsi" w:hAnsiTheme="majorHAnsi" w:cs="Calibri"/>
                <w:lang w:val="tr-TR"/>
              </w:rPr>
              <w:lastRenderedPageBreak/>
              <w:t>dünyanın en büyük bankası</w:t>
            </w:r>
            <w:r w:rsidR="00A56275">
              <w:rPr>
                <w:rFonts w:asciiTheme="majorHAnsi" w:hAnsiTheme="majorHAnsi" w:cs="Calibri"/>
                <w:lang w:val="tr-TR"/>
              </w:rPr>
              <w:t>nın iştiraki</w:t>
            </w:r>
            <w:r w:rsidRPr="006854FB">
              <w:rPr>
                <w:rFonts w:asciiTheme="majorHAnsi" w:hAnsiTheme="majorHAnsi" w:cs="Calibri"/>
                <w:lang w:val="tr-TR"/>
              </w:rPr>
              <w:t xml:space="preserve"> ICBC</w:t>
            </w:r>
            <w:r>
              <w:rPr>
                <w:rFonts w:asciiTheme="majorHAnsi" w:hAnsiTheme="majorHAnsi" w:cs="Calibri"/>
                <w:lang w:val="tr-TR"/>
              </w:rPr>
              <w:t xml:space="preserve"> </w:t>
            </w:r>
            <w:proofErr w:type="spellStart"/>
            <w:r>
              <w:rPr>
                <w:rFonts w:asciiTheme="majorHAnsi" w:hAnsiTheme="majorHAnsi" w:cs="Calibri"/>
                <w:lang w:val="tr-TR"/>
              </w:rPr>
              <w:t>Turkey</w:t>
            </w:r>
            <w:r w:rsidRPr="006854FB">
              <w:rPr>
                <w:rFonts w:asciiTheme="majorHAnsi" w:hAnsiTheme="majorHAnsi" w:cs="Calibri"/>
                <w:lang w:val="tr-TR"/>
              </w:rPr>
              <w:t>’in</w:t>
            </w:r>
            <w:proofErr w:type="spellEnd"/>
            <w:r w:rsidRPr="006854FB">
              <w:rPr>
                <w:rFonts w:asciiTheme="majorHAnsi" w:hAnsiTheme="majorHAnsi" w:cs="Calibri"/>
                <w:lang w:val="tr-TR"/>
              </w:rPr>
              <w:t xml:space="preserve"> </w:t>
            </w:r>
            <w:r>
              <w:rPr>
                <w:rFonts w:asciiTheme="majorHAnsi" w:hAnsiTheme="majorHAnsi" w:cs="Calibri"/>
                <w:lang w:val="tr-TR"/>
              </w:rPr>
              <w:t>Yönetim Kurulu Başkanı</w:t>
            </w:r>
            <w:r w:rsidRPr="006854FB">
              <w:rPr>
                <w:rFonts w:asciiTheme="majorHAnsi" w:hAnsiTheme="majorHAnsi" w:cs="Calibri"/>
                <w:lang w:val="tr-TR"/>
              </w:rPr>
              <w:t xml:space="preserve"> </w:t>
            </w:r>
            <w:r>
              <w:rPr>
                <w:rFonts w:asciiTheme="majorHAnsi" w:hAnsiTheme="majorHAnsi" w:cs="Calibri"/>
                <w:lang w:val="tr-TR"/>
              </w:rPr>
              <w:t>Xu Keen</w:t>
            </w:r>
          </w:p>
        </w:tc>
      </w:tr>
      <w:tr w:rsidR="001257C5" w:rsidRPr="006854FB" w14:paraId="71D6535B" w14:textId="057452E0" w:rsidTr="00AB2652">
        <w:tc>
          <w:tcPr>
            <w:tcW w:w="0" w:type="auto"/>
          </w:tcPr>
          <w:p w14:paraId="24E37C46" w14:textId="5AC7D92E" w:rsidR="001257C5" w:rsidRDefault="001257C5" w:rsidP="0018027E">
            <w:pPr>
              <w:widowControl w:val="0"/>
              <w:tabs>
                <w:tab w:val="left" w:pos="220"/>
                <w:tab w:val="left" w:pos="720"/>
              </w:tabs>
              <w:autoSpaceDE w:val="0"/>
              <w:autoSpaceDN w:val="0"/>
              <w:adjustRightInd w:val="0"/>
              <w:jc w:val="both"/>
              <w:rPr>
                <w:rFonts w:asciiTheme="majorHAnsi" w:hAnsiTheme="majorHAnsi" w:cs="Calibri"/>
                <w:lang w:val="tr-TR"/>
              </w:rPr>
            </w:pPr>
            <w:r>
              <w:rPr>
                <w:rFonts w:asciiTheme="majorHAnsi" w:hAnsiTheme="majorHAnsi" w:cs="Calibri"/>
                <w:lang w:val="tr-TR"/>
              </w:rPr>
              <w:lastRenderedPageBreak/>
              <w:t xml:space="preserve">“ICBC </w:t>
            </w:r>
            <w:proofErr w:type="spellStart"/>
            <w:r>
              <w:rPr>
                <w:rFonts w:asciiTheme="majorHAnsi" w:hAnsiTheme="majorHAnsi" w:cs="Calibri"/>
                <w:lang w:val="tr-TR"/>
              </w:rPr>
              <w:t>Turkey</w:t>
            </w:r>
            <w:proofErr w:type="spellEnd"/>
            <w:r>
              <w:rPr>
                <w:rFonts w:asciiTheme="majorHAnsi" w:hAnsiTheme="majorHAnsi" w:cs="Calibri"/>
                <w:lang w:val="tr-TR"/>
              </w:rPr>
              <w:t>, bir yandan Türkiye ekonomisine destek sağlamaya devam ederken bir yandan da finansal kurumlar ve büyük ölçekli kurumsal şirketler ile iş birliği içinde tüm yatırım, şirket birleşmeleri ve devralma gibi yatırım fırsatlarını yakından izlemekte ve değerlendirmektedir. Girdiğimiz her projede proje ortaklarımıza da değer ve fayda yaratacağımızı düşünüyorum.</w:t>
            </w:r>
          </w:p>
          <w:p w14:paraId="52852F33" w14:textId="77777777" w:rsidR="001257C5" w:rsidRDefault="001257C5" w:rsidP="0018027E">
            <w:pPr>
              <w:widowControl w:val="0"/>
              <w:tabs>
                <w:tab w:val="left" w:pos="220"/>
                <w:tab w:val="left" w:pos="720"/>
              </w:tabs>
              <w:autoSpaceDE w:val="0"/>
              <w:autoSpaceDN w:val="0"/>
              <w:adjustRightInd w:val="0"/>
              <w:jc w:val="both"/>
              <w:rPr>
                <w:rFonts w:asciiTheme="majorHAnsi" w:hAnsiTheme="majorHAnsi" w:cs="Calibri"/>
                <w:lang w:val="tr-TR"/>
              </w:rPr>
            </w:pPr>
          </w:p>
          <w:p w14:paraId="0E3A68E2" w14:textId="22363BB1" w:rsidR="001257C5" w:rsidRPr="009A2825" w:rsidRDefault="001257C5" w:rsidP="00601CCB">
            <w:pPr>
              <w:widowControl w:val="0"/>
              <w:tabs>
                <w:tab w:val="left" w:pos="220"/>
                <w:tab w:val="left" w:pos="720"/>
              </w:tabs>
              <w:autoSpaceDE w:val="0"/>
              <w:autoSpaceDN w:val="0"/>
              <w:adjustRightInd w:val="0"/>
              <w:jc w:val="both"/>
              <w:rPr>
                <w:rFonts w:asciiTheme="majorHAnsi" w:hAnsiTheme="majorHAnsi" w:cs="Calibri"/>
                <w:lang w:val="tr-TR"/>
              </w:rPr>
            </w:pPr>
            <w:r>
              <w:rPr>
                <w:rFonts w:asciiTheme="majorHAnsi" w:hAnsiTheme="majorHAnsi" w:cs="Calibri"/>
                <w:lang w:val="tr-TR"/>
              </w:rPr>
              <w:t>43 ülkede 17.000 yerel ve uluslararası kuruluşa sahip toplamda 3,9 trilyon USD aktif büyüklüğü ile dünyanın en büyük bankası</w:t>
            </w:r>
            <w:r w:rsidRPr="00601CCB">
              <w:rPr>
                <w:rFonts w:asciiTheme="majorHAnsi" w:hAnsiTheme="majorHAnsi" w:cs="Calibri"/>
                <w:lang w:val="tr-TR"/>
              </w:rPr>
              <w:t xml:space="preserve"> </w:t>
            </w:r>
            <w:r>
              <w:rPr>
                <w:rFonts w:asciiTheme="majorHAnsi" w:hAnsiTheme="majorHAnsi" w:cs="Calibri"/>
                <w:lang w:val="tr-TR"/>
              </w:rPr>
              <w:t xml:space="preserve">konumundaki </w:t>
            </w:r>
            <w:r w:rsidRPr="00601CCB">
              <w:rPr>
                <w:rFonts w:asciiTheme="majorHAnsi" w:hAnsiTheme="majorHAnsi" w:cs="Calibri"/>
                <w:lang w:val="tr-TR"/>
              </w:rPr>
              <w:t>Industrial and Commercial Bank of China</w:t>
            </w:r>
            <w:r>
              <w:rPr>
                <w:rFonts w:asciiTheme="majorHAnsi" w:hAnsiTheme="majorHAnsi" w:cs="Calibri"/>
                <w:lang w:val="tr-TR"/>
              </w:rPr>
              <w:t>, Mayıs 2015 döneminde Tekstilbank hisselerini satın almak suretiyle Türkiye finansal piyasasasına giriş yapmış olup o günden bugüne, ICBC Turkey adı altında Türkiye’deki faaliyetlerini yürütmektedir. ICBC Turkey</w:t>
            </w:r>
            <w:r w:rsidRPr="00601CCB">
              <w:rPr>
                <w:rFonts w:asciiTheme="majorHAnsi" w:hAnsiTheme="majorHAnsi" w:cs="Calibri"/>
                <w:lang w:val="tr-TR"/>
              </w:rPr>
              <w:t xml:space="preserve"> olarak, y</w:t>
            </w:r>
            <w:r w:rsidRPr="00D35B64">
              <w:rPr>
                <w:rFonts w:asciiTheme="majorHAnsi" w:hAnsiTheme="majorHAnsi" w:cs="Calibri"/>
                <w:lang w:val="tr-TR"/>
              </w:rPr>
              <w:t xml:space="preserve">aygın yurtdışı </w:t>
            </w:r>
            <w:r>
              <w:rPr>
                <w:rFonts w:asciiTheme="majorHAnsi" w:hAnsiTheme="majorHAnsi" w:cs="Calibri"/>
                <w:lang w:val="tr-TR"/>
              </w:rPr>
              <w:t xml:space="preserve">ağımız sayesinde kazandığımız </w:t>
            </w:r>
            <w:r w:rsidRPr="00D35B64">
              <w:rPr>
                <w:rFonts w:asciiTheme="majorHAnsi" w:hAnsiTheme="majorHAnsi" w:cs="Calibri"/>
                <w:lang w:val="tr-TR"/>
              </w:rPr>
              <w:t>küresel uzmanlı</w:t>
            </w:r>
            <w:r>
              <w:rPr>
                <w:rFonts w:asciiTheme="majorHAnsi" w:hAnsiTheme="majorHAnsi" w:cs="Calibri"/>
                <w:lang w:val="tr-TR"/>
              </w:rPr>
              <w:t>ğ</w:t>
            </w:r>
            <w:r w:rsidRPr="00D35B64">
              <w:rPr>
                <w:rFonts w:asciiTheme="majorHAnsi" w:hAnsiTheme="majorHAnsi" w:cs="Calibri"/>
                <w:lang w:val="tr-TR"/>
              </w:rPr>
              <w:t>a dayanarak</w:t>
            </w:r>
            <w:r>
              <w:rPr>
                <w:rFonts w:asciiTheme="majorHAnsi" w:hAnsiTheme="majorHAnsi" w:cs="Calibri"/>
                <w:lang w:val="tr-TR"/>
              </w:rPr>
              <w:t>, hem Türk hem de uluslararası yatırımcılara uzun vadeli finansman sağlamak konusunda öncü finansal kuruluşlardan biri olmayı amaçlamaktayız.” ifadesinde bulundu.</w:t>
            </w:r>
          </w:p>
        </w:tc>
      </w:tr>
      <w:tr w:rsidR="001257C5" w:rsidRPr="006854FB" w14:paraId="70A6BBF4" w14:textId="395AA33C" w:rsidTr="00AB2652">
        <w:tc>
          <w:tcPr>
            <w:tcW w:w="0" w:type="auto"/>
          </w:tcPr>
          <w:p w14:paraId="4D19C4FB" w14:textId="39E24888" w:rsidR="001257C5" w:rsidRPr="006854FB" w:rsidRDefault="001257C5" w:rsidP="008F6DB1">
            <w:pPr>
              <w:pStyle w:val="IntenseQuote"/>
              <w:ind w:left="0" w:right="0"/>
              <w:rPr>
                <w:lang w:val="tr-TR"/>
              </w:rPr>
            </w:pPr>
            <w:r w:rsidRPr="006854FB">
              <w:rPr>
                <w:lang w:val="tr-TR"/>
              </w:rPr>
              <w:t xml:space="preserve">Hayat Varlık Yönetim A.Ş. </w:t>
            </w:r>
            <w:r w:rsidR="00A56275">
              <w:rPr>
                <w:lang w:val="tr-TR"/>
              </w:rPr>
              <w:t xml:space="preserve">( “Hayat Varlık”, “Şirket”) </w:t>
            </w:r>
            <w:r w:rsidRPr="006854FB">
              <w:rPr>
                <w:lang w:val="tr-TR"/>
              </w:rPr>
              <w:t>hakkında</w:t>
            </w:r>
          </w:p>
        </w:tc>
      </w:tr>
      <w:tr w:rsidR="001257C5" w:rsidRPr="006854FB" w14:paraId="6697BDDF" w14:textId="3CC4E2B3" w:rsidTr="00AB2652">
        <w:tc>
          <w:tcPr>
            <w:tcW w:w="0" w:type="auto"/>
          </w:tcPr>
          <w:p w14:paraId="478579A0" w14:textId="628DCB72" w:rsidR="001257C5" w:rsidRPr="006854FB" w:rsidRDefault="001257C5" w:rsidP="00A56275">
            <w:pPr>
              <w:widowControl w:val="0"/>
              <w:tabs>
                <w:tab w:val="left" w:pos="220"/>
                <w:tab w:val="left" w:pos="720"/>
              </w:tabs>
              <w:autoSpaceDE w:val="0"/>
              <w:autoSpaceDN w:val="0"/>
              <w:adjustRightInd w:val="0"/>
              <w:spacing w:before="100" w:beforeAutospacing="1" w:after="100" w:afterAutospacing="1" w:line="276" w:lineRule="auto"/>
              <w:rPr>
                <w:rFonts w:asciiTheme="majorHAnsi" w:hAnsiTheme="majorHAnsi" w:cs="Calibri"/>
                <w:i/>
                <w:sz w:val="22"/>
                <w:szCs w:val="22"/>
                <w:lang w:val="tr-TR"/>
              </w:rPr>
            </w:pPr>
            <w:r w:rsidRPr="006854FB">
              <w:rPr>
                <w:rFonts w:asciiTheme="majorHAnsi" w:hAnsiTheme="majorHAnsi" w:cs="Calibri"/>
                <w:i/>
                <w:sz w:val="22"/>
                <w:szCs w:val="22"/>
                <w:lang w:val="tr-TR"/>
              </w:rPr>
              <w:t xml:space="preserve">Hayat Varlık, Bankacılık Düzenleme ve Denetleme Kurumu’nun (BDDK) izniyle kurulmuş bir varlık yönetim şirketidir. Ortakları </w:t>
            </w:r>
            <w:proofErr w:type="spellStart"/>
            <w:r>
              <w:rPr>
                <w:rFonts w:asciiTheme="majorHAnsi" w:hAnsiTheme="majorHAnsi" w:cs="Calibri"/>
                <w:i/>
                <w:sz w:val="22"/>
                <w:szCs w:val="22"/>
                <w:lang w:val="tr-TR"/>
              </w:rPr>
              <w:t>Vector</w:t>
            </w:r>
            <w:proofErr w:type="spellEnd"/>
            <w:r>
              <w:rPr>
                <w:rFonts w:asciiTheme="majorHAnsi" w:hAnsiTheme="majorHAnsi" w:cs="Calibri"/>
                <w:i/>
                <w:sz w:val="22"/>
                <w:szCs w:val="22"/>
                <w:lang w:val="tr-TR"/>
              </w:rPr>
              <w:t xml:space="preserve"> </w:t>
            </w:r>
            <w:proofErr w:type="spellStart"/>
            <w:r>
              <w:rPr>
                <w:rFonts w:asciiTheme="majorHAnsi" w:hAnsiTheme="majorHAnsi" w:cs="Calibri"/>
                <w:i/>
                <w:sz w:val="22"/>
                <w:szCs w:val="22"/>
                <w:lang w:val="tr-TR"/>
              </w:rPr>
              <w:t>H</w:t>
            </w:r>
            <w:r w:rsidRPr="006854FB">
              <w:rPr>
                <w:rFonts w:asciiTheme="majorHAnsi" w:hAnsiTheme="majorHAnsi" w:cs="Calibri"/>
                <w:i/>
                <w:sz w:val="22"/>
                <w:szCs w:val="22"/>
                <w:lang w:val="tr-TR"/>
              </w:rPr>
              <w:t>oldings</w:t>
            </w:r>
            <w:proofErr w:type="spellEnd"/>
            <w:r w:rsidR="00A56275">
              <w:rPr>
                <w:rFonts w:asciiTheme="majorHAnsi" w:hAnsiTheme="majorHAnsi" w:cs="Calibri"/>
                <w:i/>
                <w:sz w:val="22"/>
                <w:szCs w:val="22"/>
                <w:lang w:val="tr-TR"/>
              </w:rPr>
              <w:t xml:space="preserve"> </w:t>
            </w:r>
            <w:proofErr w:type="spellStart"/>
            <w:r w:rsidR="00A56275">
              <w:rPr>
                <w:rFonts w:asciiTheme="majorHAnsi" w:hAnsiTheme="majorHAnsi" w:cs="Calibri"/>
                <w:i/>
                <w:sz w:val="22"/>
                <w:szCs w:val="22"/>
                <w:lang w:val="tr-TR"/>
              </w:rPr>
              <w:t>S.a.r.l</w:t>
            </w:r>
            <w:proofErr w:type="spellEnd"/>
            <w:r w:rsidR="00A56275">
              <w:rPr>
                <w:rFonts w:asciiTheme="majorHAnsi" w:hAnsiTheme="majorHAnsi" w:cs="Calibri"/>
                <w:i/>
                <w:sz w:val="22"/>
                <w:szCs w:val="22"/>
                <w:lang w:val="tr-TR"/>
              </w:rPr>
              <w:t>.</w:t>
            </w:r>
            <w:r w:rsidRPr="006854FB">
              <w:rPr>
                <w:rFonts w:asciiTheme="majorHAnsi" w:hAnsiTheme="majorHAnsi" w:cs="Calibri"/>
                <w:i/>
                <w:sz w:val="22"/>
                <w:szCs w:val="22"/>
                <w:lang w:val="tr-TR"/>
              </w:rPr>
              <w:t xml:space="preserve"> ve </w:t>
            </w:r>
            <w:proofErr w:type="spellStart"/>
            <w:r w:rsidRPr="006854FB">
              <w:rPr>
                <w:rFonts w:asciiTheme="majorHAnsi" w:hAnsiTheme="majorHAnsi" w:cs="Calibri"/>
                <w:i/>
                <w:sz w:val="22"/>
                <w:szCs w:val="22"/>
                <w:lang w:val="tr-TR"/>
              </w:rPr>
              <w:t>EBRD’dir</w:t>
            </w:r>
            <w:proofErr w:type="spellEnd"/>
            <w:r w:rsidRPr="006854FB">
              <w:rPr>
                <w:rFonts w:asciiTheme="majorHAnsi" w:hAnsiTheme="majorHAnsi" w:cs="Calibri"/>
                <w:i/>
                <w:sz w:val="22"/>
                <w:szCs w:val="22"/>
                <w:lang w:val="tr-TR"/>
              </w:rPr>
              <w:t xml:space="preserve">. </w:t>
            </w:r>
            <w:proofErr w:type="spellStart"/>
            <w:r w:rsidRPr="006854FB">
              <w:rPr>
                <w:rFonts w:asciiTheme="majorHAnsi" w:hAnsiTheme="majorHAnsi" w:cs="Calibri"/>
                <w:i/>
                <w:sz w:val="22"/>
                <w:szCs w:val="22"/>
                <w:lang w:val="tr-TR"/>
              </w:rPr>
              <w:t>Ve</w:t>
            </w:r>
            <w:r>
              <w:rPr>
                <w:rFonts w:asciiTheme="majorHAnsi" w:hAnsiTheme="majorHAnsi" w:cs="Calibri"/>
                <w:i/>
                <w:sz w:val="22"/>
                <w:szCs w:val="22"/>
                <w:lang w:val="tr-TR"/>
              </w:rPr>
              <w:t>cto</w:t>
            </w:r>
            <w:r w:rsidRPr="006854FB">
              <w:rPr>
                <w:rFonts w:asciiTheme="majorHAnsi" w:hAnsiTheme="majorHAnsi" w:cs="Calibri"/>
                <w:i/>
                <w:sz w:val="22"/>
                <w:szCs w:val="22"/>
                <w:lang w:val="tr-TR"/>
              </w:rPr>
              <w:t>r</w:t>
            </w:r>
            <w:proofErr w:type="spellEnd"/>
            <w:r w:rsidRPr="006854FB">
              <w:rPr>
                <w:rFonts w:asciiTheme="majorHAnsi" w:hAnsiTheme="majorHAnsi" w:cs="Calibri"/>
                <w:i/>
                <w:sz w:val="22"/>
                <w:szCs w:val="22"/>
                <w:lang w:val="tr-TR"/>
              </w:rPr>
              <w:t xml:space="preserve"> </w:t>
            </w:r>
            <w:proofErr w:type="spellStart"/>
            <w:r w:rsidRPr="006854FB">
              <w:rPr>
                <w:rFonts w:asciiTheme="majorHAnsi" w:hAnsiTheme="majorHAnsi" w:cs="Calibri"/>
                <w:i/>
                <w:sz w:val="22"/>
                <w:szCs w:val="22"/>
                <w:lang w:val="tr-TR"/>
              </w:rPr>
              <w:t>Holdings</w:t>
            </w:r>
            <w:proofErr w:type="spellEnd"/>
            <w:r w:rsidR="00A56275">
              <w:rPr>
                <w:rFonts w:asciiTheme="majorHAnsi" w:hAnsiTheme="majorHAnsi" w:cs="Calibri"/>
                <w:i/>
                <w:sz w:val="22"/>
                <w:szCs w:val="22"/>
                <w:lang w:val="tr-TR"/>
              </w:rPr>
              <w:t xml:space="preserve"> </w:t>
            </w:r>
            <w:proofErr w:type="spellStart"/>
            <w:r w:rsidR="00A56275">
              <w:rPr>
                <w:rFonts w:asciiTheme="majorHAnsi" w:hAnsiTheme="majorHAnsi" w:cs="Calibri"/>
                <w:i/>
                <w:sz w:val="22"/>
                <w:szCs w:val="22"/>
                <w:lang w:val="tr-TR"/>
              </w:rPr>
              <w:t>S.a.r.l</w:t>
            </w:r>
            <w:r w:rsidRPr="006854FB">
              <w:rPr>
                <w:rFonts w:asciiTheme="majorHAnsi" w:hAnsiTheme="majorHAnsi" w:cs="Calibri"/>
                <w:i/>
                <w:sz w:val="22"/>
                <w:szCs w:val="22"/>
                <w:lang w:val="tr-TR"/>
              </w:rPr>
              <w:t>’</w:t>
            </w:r>
            <w:r w:rsidR="00A56275">
              <w:rPr>
                <w:rFonts w:asciiTheme="majorHAnsi" w:hAnsiTheme="majorHAnsi" w:cs="Calibri"/>
                <w:i/>
                <w:sz w:val="22"/>
                <w:szCs w:val="22"/>
                <w:lang w:val="tr-TR"/>
              </w:rPr>
              <w:t>n</w:t>
            </w:r>
            <w:r w:rsidRPr="006854FB">
              <w:rPr>
                <w:rFonts w:asciiTheme="majorHAnsi" w:hAnsiTheme="majorHAnsi" w:cs="Calibri"/>
                <w:i/>
                <w:sz w:val="22"/>
                <w:szCs w:val="22"/>
                <w:lang w:val="tr-TR"/>
              </w:rPr>
              <w:t>in</w:t>
            </w:r>
            <w:proofErr w:type="spellEnd"/>
            <w:r w:rsidRPr="006854FB">
              <w:rPr>
                <w:rFonts w:asciiTheme="majorHAnsi" w:hAnsiTheme="majorHAnsi" w:cs="Calibri"/>
                <w:i/>
                <w:sz w:val="22"/>
                <w:szCs w:val="22"/>
                <w:lang w:val="tr-TR"/>
              </w:rPr>
              <w:t xml:space="preserve"> 2009’da </w:t>
            </w:r>
            <w:proofErr w:type="spellStart"/>
            <w:r w:rsidRPr="006854FB">
              <w:rPr>
                <w:rFonts w:asciiTheme="majorHAnsi" w:hAnsiTheme="majorHAnsi" w:cs="Calibri"/>
                <w:i/>
                <w:sz w:val="22"/>
                <w:szCs w:val="22"/>
                <w:lang w:val="tr-TR"/>
              </w:rPr>
              <w:t>LBT’yi</w:t>
            </w:r>
            <w:proofErr w:type="spellEnd"/>
            <w:r w:rsidR="009B2176">
              <w:rPr>
                <w:rFonts w:asciiTheme="majorHAnsi" w:hAnsiTheme="majorHAnsi" w:cs="Calibri"/>
                <w:i/>
                <w:sz w:val="22"/>
                <w:szCs w:val="22"/>
                <w:lang w:val="tr-TR"/>
              </w:rPr>
              <w:t xml:space="preserve"> satın almasıyla başlayan, 2014</w:t>
            </w:r>
            <w:r w:rsidRPr="006854FB">
              <w:rPr>
                <w:rFonts w:asciiTheme="majorHAnsi" w:hAnsiTheme="majorHAnsi" w:cs="Calibri"/>
                <w:i/>
                <w:sz w:val="22"/>
                <w:szCs w:val="22"/>
                <w:lang w:val="tr-TR"/>
              </w:rPr>
              <w:t xml:space="preserve">’ten 2016’ya kadar Turkasset adıyla yola devam eden </w:t>
            </w:r>
            <w:r w:rsidR="00A56275">
              <w:rPr>
                <w:rFonts w:asciiTheme="majorHAnsi" w:hAnsiTheme="majorHAnsi" w:cs="Calibri"/>
                <w:i/>
                <w:sz w:val="22"/>
                <w:szCs w:val="22"/>
                <w:lang w:val="tr-TR"/>
              </w:rPr>
              <w:t>Ş</w:t>
            </w:r>
            <w:r w:rsidRPr="006854FB">
              <w:rPr>
                <w:rFonts w:asciiTheme="majorHAnsi" w:hAnsiTheme="majorHAnsi" w:cs="Calibri"/>
                <w:i/>
                <w:sz w:val="22"/>
                <w:szCs w:val="22"/>
                <w:lang w:val="tr-TR"/>
              </w:rPr>
              <w:t xml:space="preserve">irket, 2017’de Hayat Varlık ile Hayat Varlık bünyesinde birleşmiştir. Bankalardan ve diğer finansal kuruluşlardan devraldığı </w:t>
            </w:r>
            <w:r>
              <w:rPr>
                <w:rFonts w:asciiTheme="majorHAnsi" w:hAnsiTheme="majorHAnsi" w:cs="Calibri"/>
                <w:i/>
                <w:sz w:val="22"/>
                <w:szCs w:val="22"/>
                <w:lang w:val="tr-TR"/>
              </w:rPr>
              <w:t xml:space="preserve">alacaklar </w:t>
            </w:r>
            <w:r w:rsidRPr="006854FB">
              <w:rPr>
                <w:rFonts w:asciiTheme="majorHAnsi" w:hAnsiTheme="majorHAnsi" w:cs="Calibri"/>
                <w:i/>
                <w:sz w:val="22"/>
                <w:szCs w:val="22"/>
                <w:lang w:val="tr-TR"/>
              </w:rPr>
              <w:t xml:space="preserve">yönetimi ile uğraşan Hayat Varlık, sektörünün en büyük şirketidir. </w:t>
            </w:r>
            <w:r w:rsidR="00A56275">
              <w:rPr>
                <w:rFonts w:asciiTheme="majorHAnsi" w:hAnsiTheme="majorHAnsi" w:cs="Calibri"/>
                <w:i/>
                <w:sz w:val="22"/>
                <w:szCs w:val="22"/>
                <w:lang w:val="tr-TR"/>
              </w:rPr>
              <w:t>Şirket, s</w:t>
            </w:r>
            <w:r w:rsidRPr="006854FB">
              <w:rPr>
                <w:rFonts w:asciiTheme="majorHAnsi" w:hAnsiTheme="majorHAnsi" w:cs="Calibri"/>
                <w:i/>
                <w:sz w:val="22"/>
                <w:szCs w:val="22"/>
                <w:lang w:val="tr-TR"/>
              </w:rPr>
              <w:t xml:space="preserve">ektörün ilk ve tek ISO 10002 Müşteri Şikayetleri Yönetim Sistemleri sertifikasını ve ISO 27001 Bilgi Güvenliği Yönetim Sistemleri sertifikasını almıştır. </w:t>
            </w:r>
            <w:r w:rsidRPr="00F1466E">
              <w:rPr>
                <w:rFonts w:asciiTheme="majorHAnsi" w:hAnsiTheme="majorHAnsi" w:cs="Calibri"/>
                <w:i/>
                <w:sz w:val="22"/>
                <w:szCs w:val="22"/>
                <w:lang w:val="tr-TR"/>
              </w:rPr>
              <w:t xml:space="preserve">Türkiye’nin en iyi işverenleri arasında (Great Place to Work) yer alan </w:t>
            </w:r>
            <w:r w:rsidR="00A56275">
              <w:rPr>
                <w:rFonts w:asciiTheme="majorHAnsi" w:hAnsiTheme="majorHAnsi" w:cs="Calibri"/>
                <w:i/>
                <w:sz w:val="22"/>
                <w:szCs w:val="22"/>
                <w:lang w:val="tr-TR"/>
              </w:rPr>
              <w:t>Şirket</w:t>
            </w:r>
            <w:r w:rsidRPr="00F1466E">
              <w:rPr>
                <w:rFonts w:asciiTheme="majorHAnsi" w:hAnsiTheme="majorHAnsi" w:cs="Calibri"/>
                <w:i/>
                <w:sz w:val="22"/>
                <w:szCs w:val="22"/>
                <w:lang w:val="tr-TR"/>
              </w:rPr>
              <w:t xml:space="preserve">, sürdürdüğü eğitim programlarıyla dünyanın en prestijli eğitim ve gelişim ödüllerinden biri olan Brandon Hall Eğitimde Mükemmeliyet ödülüne layık görülmüştür. </w:t>
            </w:r>
            <w:r w:rsidR="00A56275">
              <w:rPr>
                <w:rFonts w:asciiTheme="majorHAnsi" w:hAnsiTheme="majorHAnsi" w:cs="Calibri"/>
                <w:i/>
                <w:sz w:val="22"/>
                <w:szCs w:val="22"/>
                <w:lang w:val="tr-TR"/>
              </w:rPr>
              <w:t>Şirket’in</w:t>
            </w:r>
            <w:r w:rsidRPr="00F1466E">
              <w:rPr>
                <w:rFonts w:asciiTheme="majorHAnsi" w:hAnsiTheme="majorHAnsi" w:cs="Calibri"/>
                <w:i/>
                <w:sz w:val="22"/>
                <w:szCs w:val="22"/>
                <w:lang w:val="tr-TR"/>
              </w:rPr>
              <w:t xml:space="preserve"> müşteri odaklı iş modeli, </w:t>
            </w:r>
            <w:r>
              <w:rPr>
                <w:rFonts w:asciiTheme="majorHAnsi" w:hAnsiTheme="majorHAnsi" w:cs="Calibri"/>
                <w:i/>
                <w:sz w:val="22"/>
                <w:szCs w:val="22"/>
                <w:lang w:val="tr-TR"/>
              </w:rPr>
              <w:t>ABD</w:t>
            </w:r>
            <w:r w:rsidRPr="00F1466E">
              <w:rPr>
                <w:rFonts w:asciiTheme="majorHAnsi" w:hAnsiTheme="majorHAnsi" w:cs="Calibri"/>
                <w:i/>
                <w:sz w:val="22"/>
                <w:szCs w:val="22"/>
                <w:lang w:val="tr-TR"/>
              </w:rPr>
              <w:t>’nın önde gelen eğitim kurumlarından olan Harvard Business School’da örnek vaka olarak okutulmaktadır.</w:t>
            </w:r>
          </w:p>
        </w:tc>
        <w:bookmarkStart w:id="0" w:name="_GoBack"/>
        <w:bookmarkEnd w:id="0"/>
      </w:tr>
    </w:tbl>
    <w:p w14:paraId="25658FB7" w14:textId="77777777" w:rsidR="00476B77" w:rsidRPr="005B5B61" w:rsidRDefault="00476B77" w:rsidP="006854FB">
      <w:pPr>
        <w:rPr>
          <w:lang w:val="tr-TR"/>
        </w:rPr>
      </w:pPr>
    </w:p>
    <w:sectPr w:rsidR="00476B77" w:rsidRPr="005B5B61" w:rsidSect="00352312">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18D57" w14:textId="77777777" w:rsidR="007E2ED7" w:rsidRDefault="007E2ED7" w:rsidP="00F045F3">
      <w:r>
        <w:separator/>
      </w:r>
    </w:p>
  </w:endnote>
  <w:endnote w:type="continuationSeparator" w:id="0">
    <w:p w14:paraId="71A9ADA7" w14:textId="77777777" w:rsidR="007E2ED7" w:rsidRDefault="007E2ED7" w:rsidP="00F0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77537" w14:textId="77777777" w:rsidR="007E2ED7" w:rsidRDefault="007E2ED7" w:rsidP="00F045F3">
      <w:r>
        <w:separator/>
      </w:r>
    </w:p>
  </w:footnote>
  <w:footnote w:type="continuationSeparator" w:id="0">
    <w:p w14:paraId="61B5D2C6" w14:textId="77777777" w:rsidR="007E2ED7" w:rsidRDefault="007E2ED7" w:rsidP="00F045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3CAED" w14:textId="789B525F" w:rsidR="00F045F3" w:rsidRDefault="00F045F3">
    <w:pPr>
      <w:pStyle w:val="Header"/>
    </w:pPr>
    <w:r w:rsidRPr="00F045F3">
      <w:rPr>
        <w:noProof/>
      </w:rPr>
      <w:drawing>
        <wp:anchor distT="0" distB="0" distL="114300" distR="114300" simplePos="0" relativeHeight="251658240" behindDoc="0" locked="0" layoutInCell="1" allowOverlap="1" wp14:anchorId="0CF31793" wp14:editId="6C669E76">
          <wp:simplePos x="0" y="0"/>
          <wp:positionH relativeFrom="column">
            <wp:posOffset>1049020</wp:posOffset>
          </wp:positionH>
          <wp:positionV relativeFrom="paragraph">
            <wp:posOffset>-4445</wp:posOffset>
          </wp:positionV>
          <wp:extent cx="3171825" cy="1371600"/>
          <wp:effectExtent l="0" t="0" r="3175"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71825" cy="1371600"/>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16267"/>
    <w:multiLevelType w:val="hybridMultilevel"/>
    <w:tmpl w:val="E57A23E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27616E58"/>
    <w:multiLevelType w:val="hybridMultilevel"/>
    <w:tmpl w:val="858E4124"/>
    <w:lvl w:ilvl="0" w:tplc="F1FE61B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3F2D03"/>
    <w:multiLevelType w:val="hybridMultilevel"/>
    <w:tmpl w:val="17E29B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4A64FBB"/>
    <w:multiLevelType w:val="hybridMultilevel"/>
    <w:tmpl w:val="927C191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79A17212"/>
    <w:multiLevelType w:val="hybridMultilevel"/>
    <w:tmpl w:val="CB96E82A"/>
    <w:lvl w:ilvl="0" w:tplc="B92EC91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steren Peynirci">
    <w15:presenceInfo w15:providerId="AD" w15:userId="S-1-5-21-1301977364-2521002548-2243982753-1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B92"/>
    <w:rsid w:val="0000586A"/>
    <w:rsid w:val="000279F4"/>
    <w:rsid w:val="000528DD"/>
    <w:rsid w:val="000E3CF7"/>
    <w:rsid w:val="001257C5"/>
    <w:rsid w:val="0018027E"/>
    <w:rsid w:val="00181E52"/>
    <w:rsid w:val="001839A4"/>
    <w:rsid w:val="001B470A"/>
    <w:rsid w:val="001D45C5"/>
    <w:rsid w:val="001F3309"/>
    <w:rsid w:val="00203AAD"/>
    <w:rsid w:val="00224707"/>
    <w:rsid w:val="002409DB"/>
    <w:rsid w:val="002C4431"/>
    <w:rsid w:val="002D1EB3"/>
    <w:rsid w:val="002F7CD8"/>
    <w:rsid w:val="003342C8"/>
    <w:rsid w:val="00352312"/>
    <w:rsid w:val="003527C8"/>
    <w:rsid w:val="00476B77"/>
    <w:rsid w:val="00487218"/>
    <w:rsid w:val="004951CD"/>
    <w:rsid w:val="004F644A"/>
    <w:rsid w:val="004F6504"/>
    <w:rsid w:val="005602C2"/>
    <w:rsid w:val="00563042"/>
    <w:rsid w:val="0057110F"/>
    <w:rsid w:val="005727A5"/>
    <w:rsid w:val="00574053"/>
    <w:rsid w:val="005B5B61"/>
    <w:rsid w:val="005B6082"/>
    <w:rsid w:val="00601CCB"/>
    <w:rsid w:val="0060206B"/>
    <w:rsid w:val="00626963"/>
    <w:rsid w:val="006854FB"/>
    <w:rsid w:val="006A7E47"/>
    <w:rsid w:val="006B24A4"/>
    <w:rsid w:val="006E5282"/>
    <w:rsid w:val="006E7B53"/>
    <w:rsid w:val="0076051D"/>
    <w:rsid w:val="00780D3D"/>
    <w:rsid w:val="007E2ED7"/>
    <w:rsid w:val="00822511"/>
    <w:rsid w:val="0084475A"/>
    <w:rsid w:val="008605BA"/>
    <w:rsid w:val="0087624A"/>
    <w:rsid w:val="008F6DB1"/>
    <w:rsid w:val="009464A8"/>
    <w:rsid w:val="009A0342"/>
    <w:rsid w:val="009A2825"/>
    <w:rsid w:val="009B2176"/>
    <w:rsid w:val="009D4FF0"/>
    <w:rsid w:val="00A13230"/>
    <w:rsid w:val="00A56275"/>
    <w:rsid w:val="00A57CDE"/>
    <w:rsid w:val="00A73544"/>
    <w:rsid w:val="00A856E8"/>
    <w:rsid w:val="00A92C7E"/>
    <w:rsid w:val="00AB2652"/>
    <w:rsid w:val="00AB2B92"/>
    <w:rsid w:val="00B0362A"/>
    <w:rsid w:val="00B14F56"/>
    <w:rsid w:val="00B67191"/>
    <w:rsid w:val="00BA10C8"/>
    <w:rsid w:val="00BD5FE3"/>
    <w:rsid w:val="00C8506C"/>
    <w:rsid w:val="00C95BCF"/>
    <w:rsid w:val="00CC7A0A"/>
    <w:rsid w:val="00CD481D"/>
    <w:rsid w:val="00CF062E"/>
    <w:rsid w:val="00D16372"/>
    <w:rsid w:val="00D21FA5"/>
    <w:rsid w:val="00D33EA2"/>
    <w:rsid w:val="00D3407A"/>
    <w:rsid w:val="00D35B64"/>
    <w:rsid w:val="00D64D6A"/>
    <w:rsid w:val="00D7526D"/>
    <w:rsid w:val="00DA51E8"/>
    <w:rsid w:val="00DB7B5A"/>
    <w:rsid w:val="00DF0842"/>
    <w:rsid w:val="00E0257E"/>
    <w:rsid w:val="00E21CC8"/>
    <w:rsid w:val="00E56A73"/>
    <w:rsid w:val="00E63286"/>
    <w:rsid w:val="00F045F3"/>
    <w:rsid w:val="00F0594F"/>
    <w:rsid w:val="00F1466E"/>
    <w:rsid w:val="00F20084"/>
    <w:rsid w:val="00F3173E"/>
    <w:rsid w:val="00F34E1E"/>
    <w:rsid w:val="00F430CE"/>
    <w:rsid w:val="00F6632E"/>
    <w:rsid w:val="00F77089"/>
    <w:rsid w:val="00FB2D74"/>
    <w:rsid w:val="00FC071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277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B92"/>
    <w:rPr>
      <w:lang w:val="en-US"/>
    </w:rPr>
  </w:style>
  <w:style w:type="paragraph" w:styleId="Heading1">
    <w:name w:val="heading 1"/>
    <w:basedOn w:val="Normal"/>
    <w:next w:val="Normal"/>
    <w:link w:val="Heading1Char"/>
    <w:uiPriority w:val="9"/>
    <w:qFormat/>
    <w:rsid w:val="00E56A7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B92"/>
    <w:pPr>
      <w:ind w:left="720"/>
      <w:contextualSpacing/>
    </w:pPr>
  </w:style>
  <w:style w:type="character" w:customStyle="1" w:styleId="Heading1Char">
    <w:name w:val="Heading 1 Char"/>
    <w:basedOn w:val="DefaultParagraphFont"/>
    <w:link w:val="Heading1"/>
    <w:uiPriority w:val="9"/>
    <w:rsid w:val="00E56A73"/>
    <w:rPr>
      <w:rFonts w:asciiTheme="majorHAnsi" w:eastAsiaTheme="majorEastAsia" w:hAnsiTheme="majorHAnsi" w:cstheme="majorBidi"/>
      <w:b/>
      <w:bCs/>
      <w:color w:val="345A8A" w:themeColor="accent1" w:themeShade="B5"/>
      <w:sz w:val="32"/>
      <w:szCs w:val="32"/>
      <w:lang w:val="en-US"/>
    </w:rPr>
  </w:style>
  <w:style w:type="paragraph" w:styleId="Title">
    <w:name w:val="Title"/>
    <w:basedOn w:val="Normal"/>
    <w:next w:val="Normal"/>
    <w:link w:val="TitleChar"/>
    <w:uiPriority w:val="10"/>
    <w:qFormat/>
    <w:rsid w:val="00E21C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1CC8"/>
    <w:rPr>
      <w:rFonts w:asciiTheme="majorHAnsi" w:eastAsiaTheme="majorEastAsia" w:hAnsiTheme="majorHAnsi" w:cstheme="majorBidi"/>
      <w:color w:val="17365D" w:themeColor="text2" w:themeShade="BF"/>
      <w:spacing w:val="5"/>
      <w:kern w:val="28"/>
      <w:sz w:val="52"/>
      <w:szCs w:val="52"/>
      <w:lang w:val="en-US"/>
    </w:rPr>
  </w:style>
  <w:style w:type="paragraph" w:styleId="NoSpacing">
    <w:name w:val="No Spacing"/>
    <w:uiPriority w:val="1"/>
    <w:qFormat/>
    <w:rsid w:val="00E21CC8"/>
    <w:rPr>
      <w:lang w:val="en-US"/>
    </w:rPr>
  </w:style>
  <w:style w:type="paragraph" w:styleId="IntenseQuote">
    <w:name w:val="Intense Quote"/>
    <w:basedOn w:val="Normal"/>
    <w:next w:val="Normal"/>
    <w:link w:val="IntenseQuoteChar"/>
    <w:uiPriority w:val="30"/>
    <w:qFormat/>
    <w:rsid w:val="00E21CC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21CC8"/>
    <w:rPr>
      <w:b/>
      <w:bCs/>
      <w:i/>
      <w:iCs/>
      <w:color w:val="4F81BD" w:themeColor="accent1"/>
      <w:lang w:val="en-US"/>
    </w:rPr>
  </w:style>
  <w:style w:type="paragraph" w:styleId="Header">
    <w:name w:val="header"/>
    <w:basedOn w:val="Normal"/>
    <w:link w:val="HeaderChar"/>
    <w:uiPriority w:val="99"/>
    <w:unhideWhenUsed/>
    <w:rsid w:val="00F045F3"/>
    <w:pPr>
      <w:tabs>
        <w:tab w:val="center" w:pos="4153"/>
        <w:tab w:val="right" w:pos="8306"/>
      </w:tabs>
    </w:pPr>
  </w:style>
  <w:style w:type="character" w:customStyle="1" w:styleId="HeaderChar">
    <w:name w:val="Header Char"/>
    <w:basedOn w:val="DefaultParagraphFont"/>
    <w:link w:val="Header"/>
    <w:uiPriority w:val="99"/>
    <w:rsid w:val="00F045F3"/>
    <w:rPr>
      <w:lang w:val="en-US"/>
    </w:rPr>
  </w:style>
  <w:style w:type="paragraph" w:styleId="Footer">
    <w:name w:val="footer"/>
    <w:basedOn w:val="Normal"/>
    <w:link w:val="FooterChar"/>
    <w:uiPriority w:val="99"/>
    <w:unhideWhenUsed/>
    <w:rsid w:val="00F045F3"/>
    <w:pPr>
      <w:tabs>
        <w:tab w:val="center" w:pos="4153"/>
        <w:tab w:val="right" w:pos="8306"/>
      </w:tabs>
    </w:pPr>
  </w:style>
  <w:style w:type="character" w:customStyle="1" w:styleId="FooterChar">
    <w:name w:val="Footer Char"/>
    <w:basedOn w:val="DefaultParagraphFont"/>
    <w:link w:val="Footer"/>
    <w:uiPriority w:val="99"/>
    <w:rsid w:val="00F045F3"/>
    <w:rPr>
      <w:lang w:val="en-US"/>
    </w:rPr>
  </w:style>
  <w:style w:type="paragraph" w:styleId="BalloonText">
    <w:name w:val="Balloon Text"/>
    <w:basedOn w:val="Normal"/>
    <w:link w:val="BalloonTextChar"/>
    <w:uiPriority w:val="99"/>
    <w:semiHidden/>
    <w:unhideWhenUsed/>
    <w:rsid w:val="00F045F3"/>
    <w:rPr>
      <w:rFonts w:ascii="Lucida Grande" w:hAnsi="Lucida Grande"/>
      <w:sz w:val="18"/>
      <w:szCs w:val="18"/>
    </w:rPr>
  </w:style>
  <w:style w:type="character" w:customStyle="1" w:styleId="BalloonTextChar">
    <w:name w:val="Balloon Text Char"/>
    <w:basedOn w:val="DefaultParagraphFont"/>
    <w:link w:val="BalloonText"/>
    <w:uiPriority w:val="99"/>
    <w:semiHidden/>
    <w:rsid w:val="00F045F3"/>
    <w:rPr>
      <w:rFonts w:ascii="Lucida Grande" w:hAnsi="Lucida Grande"/>
      <w:sz w:val="18"/>
      <w:szCs w:val="18"/>
      <w:lang w:val="en-US"/>
    </w:rPr>
  </w:style>
  <w:style w:type="character" w:styleId="CommentReference">
    <w:name w:val="annotation reference"/>
    <w:basedOn w:val="DefaultParagraphFont"/>
    <w:uiPriority w:val="99"/>
    <w:semiHidden/>
    <w:unhideWhenUsed/>
    <w:rsid w:val="005B5B61"/>
    <w:rPr>
      <w:sz w:val="16"/>
      <w:szCs w:val="16"/>
    </w:rPr>
  </w:style>
  <w:style w:type="paragraph" w:styleId="CommentText">
    <w:name w:val="annotation text"/>
    <w:basedOn w:val="Normal"/>
    <w:link w:val="CommentTextChar"/>
    <w:uiPriority w:val="99"/>
    <w:semiHidden/>
    <w:unhideWhenUsed/>
    <w:rsid w:val="005B5B61"/>
    <w:rPr>
      <w:sz w:val="20"/>
      <w:szCs w:val="20"/>
    </w:rPr>
  </w:style>
  <w:style w:type="character" w:customStyle="1" w:styleId="CommentTextChar">
    <w:name w:val="Comment Text Char"/>
    <w:basedOn w:val="DefaultParagraphFont"/>
    <w:link w:val="CommentText"/>
    <w:uiPriority w:val="99"/>
    <w:semiHidden/>
    <w:rsid w:val="005B5B61"/>
    <w:rPr>
      <w:sz w:val="20"/>
      <w:szCs w:val="20"/>
      <w:lang w:val="en-US"/>
    </w:rPr>
  </w:style>
  <w:style w:type="paragraph" w:styleId="CommentSubject">
    <w:name w:val="annotation subject"/>
    <w:basedOn w:val="CommentText"/>
    <w:next w:val="CommentText"/>
    <w:link w:val="CommentSubjectChar"/>
    <w:uiPriority w:val="99"/>
    <w:semiHidden/>
    <w:unhideWhenUsed/>
    <w:rsid w:val="005B5B61"/>
    <w:rPr>
      <w:b/>
      <w:bCs/>
    </w:rPr>
  </w:style>
  <w:style w:type="character" w:customStyle="1" w:styleId="CommentSubjectChar">
    <w:name w:val="Comment Subject Char"/>
    <w:basedOn w:val="CommentTextChar"/>
    <w:link w:val="CommentSubject"/>
    <w:uiPriority w:val="99"/>
    <w:semiHidden/>
    <w:rsid w:val="005B5B61"/>
    <w:rPr>
      <w:b/>
      <w:bCs/>
      <w:sz w:val="20"/>
      <w:szCs w:val="20"/>
      <w:lang w:val="en-US"/>
    </w:rPr>
  </w:style>
  <w:style w:type="table" w:styleId="TableGrid">
    <w:name w:val="Table Grid"/>
    <w:basedOn w:val="TableNormal"/>
    <w:uiPriority w:val="59"/>
    <w:rsid w:val="006854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854FB"/>
  </w:style>
  <w:style w:type="character" w:styleId="Emphasis">
    <w:name w:val="Emphasis"/>
    <w:basedOn w:val="DefaultParagraphFont"/>
    <w:uiPriority w:val="20"/>
    <w:qFormat/>
    <w:rsid w:val="006854F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B92"/>
    <w:rPr>
      <w:lang w:val="en-US"/>
    </w:rPr>
  </w:style>
  <w:style w:type="paragraph" w:styleId="Heading1">
    <w:name w:val="heading 1"/>
    <w:basedOn w:val="Normal"/>
    <w:next w:val="Normal"/>
    <w:link w:val="Heading1Char"/>
    <w:uiPriority w:val="9"/>
    <w:qFormat/>
    <w:rsid w:val="00E56A7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B92"/>
    <w:pPr>
      <w:ind w:left="720"/>
      <w:contextualSpacing/>
    </w:pPr>
  </w:style>
  <w:style w:type="character" w:customStyle="1" w:styleId="Heading1Char">
    <w:name w:val="Heading 1 Char"/>
    <w:basedOn w:val="DefaultParagraphFont"/>
    <w:link w:val="Heading1"/>
    <w:uiPriority w:val="9"/>
    <w:rsid w:val="00E56A73"/>
    <w:rPr>
      <w:rFonts w:asciiTheme="majorHAnsi" w:eastAsiaTheme="majorEastAsia" w:hAnsiTheme="majorHAnsi" w:cstheme="majorBidi"/>
      <w:b/>
      <w:bCs/>
      <w:color w:val="345A8A" w:themeColor="accent1" w:themeShade="B5"/>
      <w:sz w:val="32"/>
      <w:szCs w:val="32"/>
      <w:lang w:val="en-US"/>
    </w:rPr>
  </w:style>
  <w:style w:type="paragraph" w:styleId="Title">
    <w:name w:val="Title"/>
    <w:basedOn w:val="Normal"/>
    <w:next w:val="Normal"/>
    <w:link w:val="TitleChar"/>
    <w:uiPriority w:val="10"/>
    <w:qFormat/>
    <w:rsid w:val="00E21C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1CC8"/>
    <w:rPr>
      <w:rFonts w:asciiTheme="majorHAnsi" w:eastAsiaTheme="majorEastAsia" w:hAnsiTheme="majorHAnsi" w:cstheme="majorBidi"/>
      <w:color w:val="17365D" w:themeColor="text2" w:themeShade="BF"/>
      <w:spacing w:val="5"/>
      <w:kern w:val="28"/>
      <w:sz w:val="52"/>
      <w:szCs w:val="52"/>
      <w:lang w:val="en-US"/>
    </w:rPr>
  </w:style>
  <w:style w:type="paragraph" w:styleId="NoSpacing">
    <w:name w:val="No Spacing"/>
    <w:uiPriority w:val="1"/>
    <w:qFormat/>
    <w:rsid w:val="00E21CC8"/>
    <w:rPr>
      <w:lang w:val="en-US"/>
    </w:rPr>
  </w:style>
  <w:style w:type="paragraph" w:styleId="IntenseQuote">
    <w:name w:val="Intense Quote"/>
    <w:basedOn w:val="Normal"/>
    <w:next w:val="Normal"/>
    <w:link w:val="IntenseQuoteChar"/>
    <w:uiPriority w:val="30"/>
    <w:qFormat/>
    <w:rsid w:val="00E21CC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21CC8"/>
    <w:rPr>
      <w:b/>
      <w:bCs/>
      <w:i/>
      <w:iCs/>
      <w:color w:val="4F81BD" w:themeColor="accent1"/>
      <w:lang w:val="en-US"/>
    </w:rPr>
  </w:style>
  <w:style w:type="paragraph" w:styleId="Header">
    <w:name w:val="header"/>
    <w:basedOn w:val="Normal"/>
    <w:link w:val="HeaderChar"/>
    <w:uiPriority w:val="99"/>
    <w:unhideWhenUsed/>
    <w:rsid w:val="00F045F3"/>
    <w:pPr>
      <w:tabs>
        <w:tab w:val="center" w:pos="4153"/>
        <w:tab w:val="right" w:pos="8306"/>
      </w:tabs>
    </w:pPr>
  </w:style>
  <w:style w:type="character" w:customStyle="1" w:styleId="HeaderChar">
    <w:name w:val="Header Char"/>
    <w:basedOn w:val="DefaultParagraphFont"/>
    <w:link w:val="Header"/>
    <w:uiPriority w:val="99"/>
    <w:rsid w:val="00F045F3"/>
    <w:rPr>
      <w:lang w:val="en-US"/>
    </w:rPr>
  </w:style>
  <w:style w:type="paragraph" w:styleId="Footer">
    <w:name w:val="footer"/>
    <w:basedOn w:val="Normal"/>
    <w:link w:val="FooterChar"/>
    <w:uiPriority w:val="99"/>
    <w:unhideWhenUsed/>
    <w:rsid w:val="00F045F3"/>
    <w:pPr>
      <w:tabs>
        <w:tab w:val="center" w:pos="4153"/>
        <w:tab w:val="right" w:pos="8306"/>
      </w:tabs>
    </w:pPr>
  </w:style>
  <w:style w:type="character" w:customStyle="1" w:styleId="FooterChar">
    <w:name w:val="Footer Char"/>
    <w:basedOn w:val="DefaultParagraphFont"/>
    <w:link w:val="Footer"/>
    <w:uiPriority w:val="99"/>
    <w:rsid w:val="00F045F3"/>
    <w:rPr>
      <w:lang w:val="en-US"/>
    </w:rPr>
  </w:style>
  <w:style w:type="paragraph" w:styleId="BalloonText">
    <w:name w:val="Balloon Text"/>
    <w:basedOn w:val="Normal"/>
    <w:link w:val="BalloonTextChar"/>
    <w:uiPriority w:val="99"/>
    <w:semiHidden/>
    <w:unhideWhenUsed/>
    <w:rsid w:val="00F045F3"/>
    <w:rPr>
      <w:rFonts w:ascii="Lucida Grande" w:hAnsi="Lucida Grande"/>
      <w:sz w:val="18"/>
      <w:szCs w:val="18"/>
    </w:rPr>
  </w:style>
  <w:style w:type="character" w:customStyle="1" w:styleId="BalloonTextChar">
    <w:name w:val="Balloon Text Char"/>
    <w:basedOn w:val="DefaultParagraphFont"/>
    <w:link w:val="BalloonText"/>
    <w:uiPriority w:val="99"/>
    <w:semiHidden/>
    <w:rsid w:val="00F045F3"/>
    <w:rPr>
      <w:rFonts w:ascii="Lucida Grande" w:hAnsi="Lucida Grande"/>
      <w:sz w:val="18"/>
      <w:szCs w:val="18"/>
      <w:lang w:val="en-US"/>
    </w:rPr>
  </w:style>
  <w:style w:type="character" w:styleId="CommentReference">
    <w:name w:val="annotation reference"/>
    <w:basedOn w:val="DefaultParagraphFont"/>
    <w:uiPriority w:val="99"/>
    <w:semiHidden/>
    <w:unhideWhenUsed/>
    <w:rsid w:val="005B5B61"/>
    <w:rPr>
      <w:sz w:val="16"/>
      <w:szCs w:val="16"/>
    </w:rPr>
  </w:style>
  <w:style w:type="paragraph" w:styleId="CommentText">
    <w:name w:val="annotation text"/>
    <w:basedOn w:val="Normal"/>
    <w:link w:val="CommentTextChar"/>
    <w:uiPriority w:val="99"/>
    <w:semiHidden/>
    <w:unhideWhenUsed/>
    <w:rsid w:val="005B5B61"/>
    <w:rPr>
      <w:sz w:val="20"/>
      <w:szCs w:val="20"/>
    </w:rPr>
  </w:style>
  <w:style w:type="character" w:customStyle="1" w:styleId="CommentTextChar">
    <w:name w:val="Comment Text Char"/>
    <w:basedOn w:val="DefaultParagraphFont"/>
    <w:link w:val="CommentText"/>
    <w:uiPriority w:val="99"/>
    <w:semiHidden/>
    <w:rsid w:val="005B5B61"/>
    <w:rPr>
      <w:sz w:val="20"/>
      <w:szCs w:val="20"/>
      <w:lang w:val="en-US"/>
    </w:rPr>
  </w:style>
  <w:style w:type="paragraph" w:styleId="CommentSubject">
    <w:name w:val="annotation subject"/>
    <w:basedOn w:val="CommentText"/>
    <w:next w:val="CommentText"/>
    <w:link w:val="CommentSubjectChar"/>
    <w:uiPriority w:val="99"/>
    <w:semiHidden/>
    <w:unhideWhenUsed/>
    <w:rsid w:val="005B5B61"/>
    <w:rPr>
      <w:b/>
      <w:bCs/>
    </w:rPr>
  </w:style>
  <w:style w:type="character" w:customStyle="1" w:styleId="CommentSubjectChar">
    <w:name w:val="Comment Subject Char"/>
    <w:basedOn w:val="CommentTextChar"/>
    <w:link w:val="CommentSubject"/>
    <w:uiPriority w:val="99"/>
    <w:semiHidden/>
    <w:rsid w:val="005B5B61"/>
    <w:rPr>
      <w:b/>
      <w:bCs/>
      <w:sz w:val="20"/>
      <w:szCs w:val="20"/>
      <w:lang w:val="en-US"/>
    </w:rPr>
  </w:style>
  <w:style w:type="table" w:styleId="TableGrid">
    <w:name w:val="Table Grid"/>
    <w:basedOn w:val="TableNormal"/>
    <w:uiPriority w:val="59"/>
    <w:rsid w:val="006854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854FB"/>
  </w:style>
  <w:style w:type="character" w:styleId="Emphasis">
    <w:name w:val="Emphasis"/>
    <w:basedOn w:val="DefaultParagraphFont"/>
    <w:uiPriority w:val="20"/>
    <w:qFormat/>
    <w:rsid w:val="006854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833320">
      <w:bodyDiv w:val="1"/>
      <w:marLeft w:val="0"/>
      <w:marRight w:val="0"/>
      <w:marTop w:val="0"/>
      <w:marBottom w:val="0"/>
      <w:divBdr>
        <w:top w:val="none" w:sz="0" w:space="0" w:color="auto"/>
        <w:left w:val="none" w:sz="0" w:space="0" w:color="auto"/>
        <w:bottom w:val="none" w:sz="0" w:space="0" w:color="auto"/>
        <w:right w:val="none" w:sz="0" w:space="0" w:color="auto"/>
      </w:divBdr>
    </w:div>
    <w:div w:id="15829051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DA032-7D29-1D47-BFB6-28CA2BA57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649</Words>
  <Characters>3700</Characters>
  <Application>Microsoft Macintosh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 Kılıçparlar</dc:creator>
  <cp:keywords/>
  <dc:description/>
  <cp:lastModifiedBy>lbtmac</cp:lastModifiedBy>
  <cp:revision>3</cp:revision>
  <cp:lastPrinted>2017-03-20T07:55:00Z</cp:lastPrinted>
  <dcterms:created xsi:type="dcterms:W3CDTF">2017-03-21T14:36:00Z</dcterms:created>
  <dcterms:modified xsi:type="dcterms:W3CDTF">2017-03-23T09:02:00Z</dcterms:modified>
</cp:coreProperties>
</file>