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40AB6" w:rsidRDefault="000950AE">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BingX, Kapsamlı Trader Veri Özelliği ile Sürüm 3.3 Güncellemesini Sunuyor</w:t>
      </w:r>
    </w:p>
    <w:p w14:paraId="00000002" w14:textId="77777777" w:rsidR="00A40AB6" w:rsidRDefault="00A40AB6">
      <w:pPr>
        <w:jc w:val="both"/>
        <w:rPr>
          <w:rFonts w:ascii="Times New Roman" w:eastAsia="Times New Roman" w:hAnsi="Times New Roman" w:cs="Times New Roman"/>
          <w:sz w:val="36"/>
          <w:szCs w:val="36"/>
        </w:rPr>
      </w:pPr>
    </w:p>
    <w:p w14:paraId="285FE818" w14:textId="724D386A" w:rsidR="00D4145D" w:rsidRDefault="000950AE">
      <w:pPr>
        <w:jc w:val="both"/>
        <w:rPr>
          <w:rFonts w:ascii="Times New Roman" w:eastAsia="Times New Roman" w:hAnsi="Times New Roman" w:cs="Times New Roman"/>
          <w:sz w:val="30"/>
          <w:szCs w:val="30"/>
        </w:rPr>
      </w:pPr>
      <w:proofErr w:type="gramStart"/>
      <w:r>
        <w:rPr>
          <w:rFonts w:ascii="Times New Roman" w:eastAsia="Times New Roman" w:hAnsi="Times New Roman" w:cs="Times New Roman"/>
          <w:sz w:val="30"/>
          <w:szCs w:val="30"/>
        </w:rPr>
        <w:t>SİNGAPUR -</w:t>
      </w:r>
      <w:proofErr w:type="gramEnd"/>
      <w:r>
        <w:rPr>
          <w:rFonts w:ascii="Times New Roman" w:eastAsia="Times New Roman" w:hAnsi="Times New Roman" w:cs="Times New Roman"/>
          <w:sz w:val="30"/>
          <w:szCs w:val="30"/>
        </w:rPr>
        <w:t xml:space="preserve"> 8 Haziran 2022 - Kripto sosyal işlem borsası BingX, borsa traderlarına daha da fazla güç vermek için kopya işlem hizmetini optimize ettiği son sürüm olan Sürüm 3.3. güncellemesini sunmaktan mutluluk duyuyor.</w:t>
      </w:r>
    </w:p>
    <w:p w14:paraId="00000004" w14:textId="77777777" w:rsidR="00A40AB6" w:rsidRDefault="00A40AB6">
      <w:pPr>
        <w:jc w:val="center"/>
        <w:rPr>
          <w:rFonts w:ascii="Times New Roman" w:eastAsia="Times New Roman" w:hAnsi="Times New Roman" w:cs="Times New Roman"/>
          <w:sz w:val="30"/>
          <w:szCs w:val="30"/>
        </w:rPr>
      </w:pPr>
    </w:p>
    <w:p w14:paraId="00000005" w14:textId="77777777" w:rsidR="00A40AB6" w:rsidRDefault="000950AE">
      <w:pPr>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Eklenen veri tabloları, risk değerlendirmesi, popüler ve geleneksel borsacı listeleri gibi yeni güncelleme özellikleri ile kripto işlemleri çok daha kolay hale geldi.</w:t>
      </w:r>
    </w:p>
    <w:p w14:paraId="00000006" w14:textId="77777777" w:rsidR="00A40AB6" w:rsidRDefault="00A40AB6">
      <w:pPr>
        <w:jc w:val="both"/>
        <w:rPr>
          <w:rFonts w:ascii="Times New Roman" w:eastAsia="Times New Roman" w:hAnsi="Times New Roman" w:cs="Times New Roman"/>
          <w:sz w:val="30"/>
          <w:szCs w:val="30"/>
        </w:rPr>
      </w:pPr>
    </w:p>
    <w:p w14:paraId="00000007" w14:textId="77777777" w:rsidR="00A40AB6" w:rsidRDefault="000950AE">
      <w:pPr>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Bu sürümün dikkat çeken en önemli özelliklerinden birisi, tüm borsalardaki en kapsamlı verileri destekleyen kapsamlı borsa verileridir. Bu yeni güncelleme, borsa traderlarının işlem ve stratejilerini derinleştirmesine imkan tanıyan daha kapsamlı istatistikleri içerecek. </w:t>
      </w:r>
    </w:p>
    <w:p w14:paraId="00000008" w14:textId="77777777" w:rsidR="00A40AB6" w:rsidRDefault="00A40AB6">
      <w:pPr>
        <w:jc w:val="both"/>
        <w:rPr>
          <w:rFonts w:ascii="Times New Roman" w:eastAsia="Times New Roman" w:hAnsi="Times New Roman" w:cs="Times New Roman"/>
          <w:sz w:val="30"/>
          <w:szCs w:val="30"/>
        </w:rPr>
      </w:pPr>
    </w:p>
    <w:p w14:paraId="00000009" w14:textId="77777777" w:rsidR="00A40AB6" w:rsidRDefault="000950AE">
      <w:pPr>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Yeni kullanıcılar da bir traderın kendi yatırım ihtiyaçlarını birden fazla bakış açısında göre karşılayıp karşılamadığını değerlendirmek için eklenen bu veri noktalarını kullanabilirler. Bunlar arasında traderın fonları, karlılığı, risk değerlendirmesi, işlem çeşitliliği tercihi, işlem sıklığı ve kazanç oranı yer almaktadır.</w:t>
      </w:r>
    </w:p>
    <w:p w14:paraId="0000000A" w14:textId="77777777" w:rsidR="00A40AB6" w:rsidRDefault="00A40AB6">
      <w:pPr>
        <w:jc w:val="both"/>
        <w:rPr>
          <w:rFonts w:ascii="Times New Roman" w:eastAsia="Times New Roman" w:hAnsi="Times New Roman" w:cs="Times New Roman"/>
          <w:sz w:val="30"/>
          <w:szCs w:val="30"/>
        </w:rPr>
      </w:pPr>
    </w:p>
    <w:p w14:paraId="0000000B" w14:textId="77777777" w:rsidR="00A40AB6" w:rsidRDefault="000950AE">
      <w:pPr>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Diğer dikkat çeken özellikler ise en fazla takipçisi olan traderları içeren popüler trader listesidir. Yeni traderlar, en popüler trader seçeneklerini sunan bu listeye bakabilir. Bunun karşılığında değerlendirme sonraki en kaliteli traderları tespit etmek için bu listeyi kullanabilirler. </w:t>
      </w:r>
    </w:p>
    <w:p w14:paraId="0000000C" w14:textId="77777777" w:rsidR="00A40AB6" w:rsidRDefault="00A40AB6">
      <w:pPr>
        <w:jc w:val="both"/>
        <w:rPr>
          <w:rFonts w:ascii="Times New Roman" w:eastAsia="Times New Roman" w:hAnsi="Times New Roman" w:cs="Times New Roman"/>
          <w:sz w:val="30"/>
          <w:szCs w:val="30"/>
        </w:rPr>
      </w:pPr>
    </w:p>
    <w:p w14:paraId="0000000D" w14:textId="77777777" w:rsidR="00A40AB6" w:rsidRDefault="000950AE">
      <w:pPr>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Hepsi bu kadar değil. Geleneksel traderlar listesi adı verilen bir liste daha eklendi. Bu liste, hisse işlem hesaplarında en yüksek ilk net değere sahip veya popüler işlem listelerini öncelikli hale getirmek yerine geleneksel stratejileri izleyen traderları içeriyor. Dahası kripto işlemlerine yeni başlayan yeni </w:t>
      </w:r>
      <w:r>
        <w:rPr>
          <w:rFonts w:ascii="Times New Roman" w:eastAsia="Times New Roman" w:hAnsi="Times New Roman" w:cs="Times New Roman"/>
          <w:sz w:val="30"/>
          <w:szCs w:val="30"/>
        </w:rPr>
        <w:lastRenderedPageBreak/>
        <w:t xml:space="preserve">traderlar az ya da orta seviyede risk istediği için bu yeni liste ile daha sezgisel bir şekilde bu tür işlemleri daha fazla görebilirler. </w:t>
      </w:r>
    </w:p>
    <w:p w14:paraId="0000000E" w14:textId="77777777" w:rsidR="00A40AB6" w:rsidRDefault="00A40AB6">
      <w:pPr>
        <w:jc w:val="both"/>
        <w:rPr>
          <w:rFonts w:ascii="Times New Roman" w:eastAsia="Times New Roman" w:hAnsi="Times New Roman" w:cs="Times New Roman"/>
          <w:sz w:val="30"/>
          <w:szCs w:val="30"/>
        </w:rPr>
      </w:pPr>
    </w:p>
    <w:p w14:paraId="0000000F" w14:textId="77777777" w:rsidR="00A40AB6" w:rsidRDefault="000950AE">
      <w:pPr>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Yeni risk değerlendirme ekranı da aynı zamanda her trader için sabitlendi. Yeni kullanıcıların risk seviyesini daha sezgisel olarak tespit etmesi ve bu traderı takip edip etmeme kararını kendi risk iştahına göre karar vermesine yardımcı olmaya ek olarak traderlar agresif işlem aktivitelerinden ve değerlendirmelerini etkileyebilecek volatiliteden kaçınmak için stratejilerini daha keskin hale getirebilirler.</w:t>
      </w:r>
    </w:p>
    <w:p w14:paraId="00000010" w14:textId="77777777" w:rsidR="00A40AB6" w:rsidRDefault="00A40AB6">
      <w:pPr>
        <w:jc w:val="both"/>
        <w:rPr>
          <w:rFonts w:ascii="Times New Roman" w:eastAsia="Times New Roman" w:hAnsi="Times New Roman" w:cs="Times New Roman"/>
          <w:sz w:val="30"/>
          <w:szCs w:val="30"/>
        </w:rPr>
      </w:pPr>
    </w:p>
    <w:p w14:paraId="00000011" w14:textId="77777777" w:rsidR="00A40AB6" w:rsidRDefault="000950AE">
      <w:pPr>
        <w:jc w:val="both"/>
        <w:rPr>
          <w:rFonts w:ascii="Times New Roman" w:eastAsia="Times New Roman" w:hAnsi="Times New Roman" w:cs="Times New Roman"/>
          <w:b/>
          <w:sz w:val="30"/>
          <w:szCs w:val="30"/>
        </w:rPr>
      </w:pPr>
      <w:r>
        <w:rPr>
          <w:rFonts w:ascii="Times New Roman" w:eastAsia="Times New Roman" w:hAnsi="Times New Roman" w:cs="Times New Roman"/>
          <w:i/>
          <w:sz w:val="30"/>
          <w:szCs w:val="30"/>
        </w:rPr>
        <w:t xml:space="preserve">“Kullanıcıların işlemlerden en fazlasını elde etmek için sürekli olan teşvik ve yöntemler sunan güvenilir bir platforma erişime sahip olmanın kullanıcılarımız için ne kadar önemli olduğunu en kadar vurgulasak az kalır. BingX her zaman kullanıcıları için kullanıcı odaklı deneyim oluşturmak için yeni ve gelişmiş yöntemler arıyor. İleri giderek kullanıcılar BingX’te işlem deneyimlerinin tüm aşamalarında sık güncellemeler bekleyebilirler. ” - </w:t>
      </w:r>
      <w:r>
        <w:rPr>
          <w:rFonts w:ascii="Times New Roman" w:eastAsia="Times New Roman" w:hAnsi="Times New Roman" w:cs="Times New Roman"/>
          <w:b/>
          <w:i/>
          <w:sz w:val="30"/>
          <w:szCs w:val="30"/>
        </w:rPr>
        <w:t xml:space="preserve">BingX İletişim &amp; PR Yöneticisi, </w:t>
      </w:r>
      <w:r>
        <w:rPr>
          <w:rFonts w:ascii="Times New Roman" w:eastAsia="Times New Roman" w:hAnsi="Times New Roman" w:cs="Times New Roman"/>
          <w:b/>
          <w:sz w:val="30"/>
          <w:szCs w:val="30"/>
        </w:rPr>
        <w:t xml:space="preserve">Elvisco Carrington  </w:t>
      </w:r>
    </w:p>
    <w:p w14:paraId="00000012" w14:textId="77777777" w:rsidR="00A40AB6" w:rsidRDefault="00A40AB6">
      <w:pPr>
        <w:jc w:val="both"/>
        <w:rPr>
          <w:rFonts w:ascii="Times New Roman" w:eastAsia="Times New Roman" w:hAnsi="Times New Roman" w:cs="Times New Roman"/>
          <w:color w:val="333333"/>
          <w:sz w:val="30"/>
          <w:szCs w:val="30"/>
          <w:highlight w:val="white"/>
        </w:rPr>
      </w:pPr>
    </w:p>
    <w:p w14:paraId="00000013" w14:textId="77777777" w:rsidR="00A40AB6" w:rsidRDefault="000950AE">
      <w:pPr>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BingX yenilikler yapmaya devam ediyor ve kripto para borsacılarına fayda sağlayacak ve onların işlem deneyimini arttıracak özellikler ve ürünler sunmaya devam edecek.</w:t>
      </w:r>
    </w:p>
    <w:p w14:paraId="00000014" w14:textId="77777777" w:rsidR="00A40AB6" w:rsidRDefault="00A40AB6">
      <w:pPr>
        <w:jc w:val="both"/>
        <w:rPr>
          <w:rFonts w:ascii="Times New Roman" w:eastAsia="Times New Roman" w:hAnsi="Times New Roman" w:cs="Times New Roman"/>
          <w:sz w:val="30"/>
          <w:szCs w:val="30"/>
        </w:rPr>
      </w:pPr>
    </w:p>
    <w:p w14:paraId="00000015" w14:textId="77777777" w:rsidR="00A40AB6" w:rsidRDefault="000950AE">
      <w:pPr>
        <w:rPr>
          <w:rFonts w:ascii="Times New Roman" w:eastAsia="Times New Roman" w:hAnsi="Times New Roman" w:cs="Times New Roman"/>
          <w:b/>
          <w:sz w:val="30"/>
          <w:szCs w:val="30"/>
        </w:rPr>
      </w:pPr>
      <w:r>
        <w:rPr>
          <w:rFonts w:ascii="Times New Roman" w:eastAsia="Times New Roman" w:hAnsi="Times New Roman" w:cs="Times New Roman"/>
          <w:b/>
          <w:sz w:val="30"/>
          <w:szCs w:val="30"/>
        </w:rPr>
        <w:t>BingX Hakkında</w:t>
      </w:r>
    </w:p>
    <w:p w14:paraId="00000016" w14:textId="77777777" w:rsidR="00A40AB6" w:rsidRDefault="00A40AB6">
      <w:pPr>
        <w:rPr>
          <w:rFonts w:ascii="Times New Roman" w:eastAsia="Times New Roman" w:hAnsi="Times New Roman" w:cs="Times New Roman"/>
          <w:b/>
          <w:sz w:val="30"/>
          <w:szCs w:val="30"/>
        </w:rPr>
      </w:pPr>
    </w:p>
    <w:p w14:paraId="22C792F1" w14:textId="42BE9CD2" w:rsidR="00E206B7" w:rsidRDefault="000950AE">
      <w:pPr>
        <w:jc w:val="both"/>
        <w:rPr>
          <w:rFonts w:ascii="Times New Roman" w:eastAsia="Times New Roman" w:hAnsi="Times New Roman" w:cs="Times New Roman"/>
          <w:b/>
          <w:i/>
          <w:sz w:val="36"/>
          <w:szCs w:val="36"/>
        </w:rPr>
      </w:pPr>
      <w:r>
        <w:rPr>
          <w:rFonts w:ascii="Times New Roman" w:eastAsia="Times New Roman" w:hAnsi="Times New Roman" w:cs="Times New Roman"/>
          <w:color w:val="333333"/>
          <w:sz w:val="30"/>
          <w:szCs w:val="30"/>
          <w:highlight w:val="white"/>
        </w:rPr>
        <w:t xml:space="preserve">2018 yılında kurulan </w:t>
      </w:r>
      <w:hyperlink r:id="rId5">
        <w:r>
          <w:rPr>
            <w:rFonts w:ascii="Times New Roman" w:eastAsia="Times New Roman" w:hAnsi="Times New Roman" w:cs="Times New Roman"/>
            <w:color w:val="1E88E5"/>
            <w:sz w:val="30"/>
            <w:szCs w:val="30"/>
            <w:highlight w:val="white"/>
            <w:u w:val="single"/>
          </w:rPr>
          <w:t>BingX</w:t>
        </w:r>
      </w:hyperlink>
      <w:r>
        <w:rPr>
          <w:rFonts w:ascii="Times New Roman" w:eastAsia="Times New Roman" w:hAnsi="Times New Roman" w:cs="Times New Roman"/>
          <w:color w:val="333333"/>
          <w:sz w:val="30"/>
          <w:szCs w:val="30"/>
          <w:highlight w:val="white"/>
        </w:rPr>
        <w:t xml:space="preserve">, büyüyerek dünyanın lider sosyal işlem platformu haline geldi. Tüm kripto para endüstrisini zenginleştirmek için içsel sosyal işlem özelliklerine sahip, güvenli, güvenilir, kullanıcı odaklı ve açık bir ekosistem sunan küresel dijital varlık, spot ve türev işlem platformu. BingX sürekli olarak aşağıda yer alanlar dahil olmak üzere yeni projeleri ve fiyat tablolarını güncelliyor: </w:t>
      </w:r>
      <w:hyperlink r:id="rId6">
        <w:r>
          <w:rPr>
            <w:rFonts w:ascii="Times New Roman" w:eastAsia="Times New Roman" w:hAnsi="Times New Roman" w:cs="Times New Roman"/>
            <w:color w:val="1155CC"/>
            <w:sz w:val="30"/>
            <w:szCs w:val="30"/>
            <w:highlight w:val="white"/>
            <w:u w:val="single"/>
          </w:rPr>
          <w:t>Poocoin</w:t>
        </w:r>
      </w:hyperlink>
      <w:r>
        <w:rPr>
          <w:rFonts w:ascii="Times New Roman" w:eastAsia="Times New Roman" w:hAnsi="Times New Roman" w:cs="Times New Roman"/>
          <w:color w:val="262626"/>
          <w:sz w:val="30"/>
          <w:szCs w:val="30"/>
          <w:highlight w:val="white"/>
        </w:rPr>
        <w:t>,</w:t>
      </w:r>
      <w:hyperlink r:id="rId7">
        <w:r>
          <w:t xml:space="preserve"> </w:t>
        </w:r>
      </w:hyperlink>
      <w:hyperlink r:id="rId8">
        <w:r>
          <w:rPr>
            <w:rFonts w:ascii="Times New Roman" w:eastAsia="Times New Roman" w:hAnsi="Times New Roman" w:cs="Times New Roman"/>
            <w:color w:val="103CC0"/>
            <w:sz w:val="30"/>
            <w:szCs w:val="30"/>
            <w:highlight w:val="white"/>
            <w:u w:val="single"/>
          </w:rPr>
          <w:t>Veracity</w:t>
        </w:r>
      </w:hyperlink>
      <w:r>
        <w:rPr>
          <w:rFonts w:ascii="Times New Roman" w:eastAsia="Times New Roman" w:hAnsi="Times New Roman" w:cs="Times New Roman"/>
          <w:color w:val="262626"/>
          <w:sz w:val="30"/>
          <w:szCs w:val="30"/>
          <w:highlight w:val="white"/>
        </w:rPr>
        <w:t>,</w:t>
      </w:r>
      <w:hyperlink r:id="rId9">
        <w:r>
          <w:t xml:space="preserve"> </w:t>
        </w:r>
      </w:hyperlink>
      <w:hyperlink r:id="rId10">
        <w:r>
          <w:rPr>
            <w:rFonts w:ascii="Times New Roman" w:eastAsia="Times New Roman" w:hAnsi="Times New Roman" w:cs="Times New Roman"/>
            <w:color w:val="103CC0"/>
            <w:sz w:val="30"/>
            <w:szCs w:val="30"/>
            <w:highlight w:val="white"/>
            <w:u w:val="single"/>
          </w:rPr>
          <w:t>PAWG Coin</w:t>
        </w:r>
      </w:hyperlink>
      <w:r>
        <w:rPr>
          <w:rFonts w:ascii="Times New Roman" w:eastAsia="Times New Roman" w:hAnsi="Times New Roman" w:cs="Times New Roman"/>
          <w:color w:val="262626"/>
          <w:sz w:val="30"/>
          <w:szCs w:val="30"/>
          <w:highlight w:val="white"/>
        </w:rPr>
        <w:t>,</w:t>
      </w:r>
      <w:hyperlink r:id="rId11">
        <w:r>
          <w:t xml:space="preserve"> </w:t>
        </w:r>
      </w:hyperlink>
      <w:hyperlink r:id="rId12">
        <w:r>
          <w:rPr>
            <w:rFonts w:ascii="Times New Roman" w:eastAsia="Times New Roman" w:hAnsi="Times New Roman" w:cs="Times New Roman"/>
            <w:color w:val="103CC0"/>
            <w:sz w:val="30"/>
            <w:szCs w:val="30"/>
            <w:highlight w:val="white"/>
            <w:u w:val="single"/>
          </w:rPr>
          <w:t>Falcon 9</w:t>
        </w:r>
      </w:hyperlink>
      <w:r>
        <w:rPr>
          <w:rFonts w:ascii="Times New Roman" w:eastAsia="Times New Roman" w:hAnsi="Times New Roman" w:cs="Times New Roman"/>
          <w:color w:val="262626"/>
          <w:sz w:val="30"/>
          <w:szCs w:val="30"/>
          <w:highlight w:val="white"/>
        </w:rPr>
        <w:t xml:space="preserve"> &amp;</w:t>
      </w:r>
      <w:hyperlink r:id="rId13">
        <w:r>
          <w:t xml:space="preserve"> </w:t>
        </w:r>
      </w:hyperlink>
      <w:hyperlink r:id="rId14">
        <w:r>
          <w:rPr>
            <w:rFonts w:ascii="Times New Roman" w:eastAsia="Times New Roman" w:hAnsi="Times New Roman" w:cs="Times New Roman"/>
            <w:color w:val="103CC0"/>
            <w:sz w:val="30"/>
            <w:szCs w:val="30"/>
            <w:highlight w:val="white"/>
            <w:u w:val="single"/>
          </w:rPr>
          <w:t>Safe Earn</w:t>
        </w:r>
      </w:hyperlink>
      <w:r>
        <w:rPr>
          <w:rFonts w:ascii="Times New Roman" w:eastAsia="Times New Roman" w:hAnsi="Times New Roman" w:cs="Times New Roman"/>
          <w:color w:val="333333"/>
          <w:sz w:val="30"/>
          <w:szCs w:val="30"/>
          <w:highlight w:val="white"/>
        </w:rPr>
        <w:t xml:space="preserve">. BingX, faaliyet gösterdiği ülkelerde ve bölgelerde yerel hükümetler tarafından tanınan ve düzenlenen kayıtlara veya finansal lisanslara sahip. </w:t>
      </w:r>
    </w:p>
    <w:sectPr w:rsidR="00E206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A2"/>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AB6"/>
    <w:rsid w:val="000950AE"/>
    <w:rsid w:val="001D1450"/>
    <w:rsid w:val="00A40AB6"/>
    <w:rsid w:val="00AC3941"/>
    <w:rsid w:val="00D4145D"/>
    <w:rsid w:val="00E206B7"/>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FED3D"/>
  <w15:docId w15:val="{97520C76-9813-6840-8E36-FDD66046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TR"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character" w:styleId="Kpr">
    <w:name w:val="Hyperlink"/>
    <w:basedOn w:val="VarsaylanParagrafYazTipi"/>
    <w:uiPriority w:val="99"/>
    <w:unhideWhenUsed/>
    <w:rsid w:val="00AD2A58"/>
    <w:rPr>
      <w:color w:val="0000FF" w:themeColor="hyperlink"/>
      <w:u w:val="single"/>
    </w:rPr>
  </w:style>
  <w:style w:type="character" w:styleId="zmlenmeyenBahsetme">
    <w:name w:val="Unresolved Mention"/>
    <w:basedOn w:val="VarsaylanParagrafYazTipi"/>
    <w:uiPriority w:val="99"/>
    <w:semiHidden/>
    <w:unhideWhenUsed/>
    <w:rsid w:val="00AD2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ngx.com/tr-tr/prices/verasity/" TargetMode="External"/><Relationship Id="rId13" Type="http://schemas.openxmlformats.org/officeDocument/2006/relationships/hyperlink" Target="https://bingx.com/tr-tr/prices/safe-earn/" TargetMode="External"/><Relationship Id="rId3" Type="http://schemas.openxmlformats.org/officeDocument/2006/relationships/settings" Target="settings.xml"/><Relationship Id="rId7" Type="http://schemas.openxmlformats.org/officeDocument/2006/relationships/hyperlink" Target="https://bingx.com/tr-tr/prices/verasity/" TargetMode="External"/><Relationship Id="rId12" Type="http://schemas.openxmlformats.org/officeDocument/2006/relationships/hyperlink" Target="https://bingx.com/tr-tr/prices/falcon-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bingx.com/tr-tr/prices/poocoin/" TargetMode="External"/><Relationship Id="rId11" Type="http://schemas.openxmlformats.org/officeDocument/2006/relationships/hyperlink" Target="https://bingx.com/tr-tr/prices/falcon-9/" TargetMode="External"/><Relationship Id="rId5" Type="http://schemas.openxmlformats.org/officeDocument/2006/relationships/hyperlink" Target="https://pr.report/ATmh0yXf" TargetMode="External"/><Relationship Id="rId15" Type="http://schemas.openxmlformats.org/officeDocument/2006/relationships/fontTable" Target="fontTable.xml"/><Relationship Id="rId10" Type="http://schemas.openxmlformats.org/officeDocument/2006/relationships/hyperlink" Target="https://bingx.com/tr-tr/prices/pawgcoin/" TargetMode="External"/><Relationship Id="rId4" Type="http://schemas.openxmlformats.org/officeDocument/2006/relationships/webSettings" Target="webSettings.xml"/><Relationship Id="rId9" Type="http://schemas.openxmlformats.org/officeDocument/2006/relationships/hyperlink" Target="https://bingx.com/tr-tr/prices/pawgcoin/" TargetMode="External"/><Relationship Id="rId14" Type="http://schemas.openxmlformats.org/officeDocument/2006/relationships/hyperlink" Target="https://bingx.com/tr-tr/prices/safe-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csVoopqBn+7SbGMBI6wEU/+eqQ==">AMUW2mW9FNqaIaLB2NJEvUEU2DUqEKPNQ67xycdf+7v+bdYJ4BQZRJYbncvfRrUmYlJkB6ZJK5/K4Ae18MSMPhS1NjR+B85bH2JB8ZB6rFIINYKL2ycoDnM=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Burak CELEP</cp:lastModifiedBy>
  <cp:revision>5</cp:revision>
  <dcterms:created xsi:type="dcterms:W3CDTF">2022-06-08T04:30:00Z</dcterms:created>
  <dcterms:modified xsi:type="dcterms:W3CDTF">2022-06-08T11:31:00Z</dcterms:modified>
</cp:coreProperties>
</file>